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6AF8718" w14:textId="1332577C" w:rsidR="009E1F63" w:rsidRDefault="004B1718" w:rsidP="004B1718">
      <w:pPr>
        <w:pStyle w:val="ListParagraph"/>
        <w:numPr>
          <w:ilvl w:val="0"/>
          <w:numId w:val="1"/>
        </w:numPr>
      </w:pPr>
      <w:r>
        <w:t>Definition &amp; Purpose for no-aug</w:t>
      </w:r>
      <w:r w:rsidR="00831DA1">
        <w:t>mentation</w:t>
      </w:r>
    </w:p>
    <w:p w14:paraId="55E48153" w14:textId="6EBE824A" w:rsidR="00350896" w:rsidRDefault="00DC2876" w:rsidP="00350896">
      <w:pPr>
        <w:pStyle w:val="ListParagraph"/>
        <w:numPr>
          <w:ilvl w:val="1"/>
          <w:numId w:val="1"/>
        </w:numPr>
      </w:pPr>
      <w:r>
        <w:t xml:space="preserve">A water control structure has been releasing clearwater return flows from a hydroelectric plant into the </w:t>
      </w:r>
      <w:r w:rsidR="00C675E3">
        <w:t>Platte River</w:t>
      </w:r>
      <w:r>
        <w:t xml:space="preserve"> near Lexington Nebraska for 82 years. During that time, the</w:t>
      </w:r>
      <w:r w:rsidR="00874732">
        <w:t xml:space="preserve"> </w:t>
      </w:r>
      <w:r>
        <w:t>return channel has incised</w:t>
      </w:r>
      <w:r w:rsidR="00874732">
        <w:t>, reducing longitudinal slope and prompting a transition from braided to wandering planforms. In an effort to prevent progression of these changes downstream</w:t>
      </w:r>
      <w:r w:rsidR="006E0904">
        <w:t>, reducing the suitability of</w:t>
      </w:r>
      <w:r w:rsidR="00874732">
        <w:t xml:space="preserve"> Whooping Crane habitat, </w:t>
      </w:r>
      <w:r>
        <w:t>the Platte River Recovery Implementation Program (PRRIP) began annual full</w:t>
      </w:r>
      <w:r w:rsidR="00350896">
        <w:t>-</w:t>
      </w:r>
      <w:r>
        <w:t>scale sediment augmentation projects approximately one mile downstream of the clearwater return in 2017. The projects were designed to offset the sediment imbalance and slow bed erosion. After 6 years of continuous annual augmentation,</w:t>
      </w:r>
      <w:r w:rsidR="00350896">
        <w:t xml:space="preserve"> PRRIP has put the project on hold for the next 5 years to monitor the channel</w:t>
      </w:r>
      <w:r w:rsidR="00C675E3">
        <w:t>’</w:t>
      </w:r>
      <w:r w:rsidR="00350896">
        <w:t>s response to a no-augmentation condition</w:t>
      </w:r>
      <w:r w:rsidR="00874732">
        <w:t>.</w:t>
      </w:r>
      <w:r w:rsidR="001A0D1B" w:rsidRPr="001A0D1B">
        <w:t xml:space="preserve"> The purpose of this pause is to gather data to help us separate the benefits of sediment augmentation from natural channel adjustment. Data collected during this period will inform future negotiations regarding the necessity, quantity, and potential location of sediment augmentation.</w:t>
      </w:r>
    </w:p>
    <w:p w14:paraId="13C56BFA" w14:textId="06561919" w:rsidR="00F50304" w:rsidRDefault="00F50304" w:rsidP="004A63BD">
      <w:pPr>
        <w:pStyle w:val="ListParagraph"/>
        <w:ind w:left="1440"/>
      </w:pPr>
    </w:p>
    <w:p w14:paraId="743BB8A1" w14:textId="2219CCDA" w:rsidR="004B1718" w:rsidRDefault="004B1718" w:rsidP="004B1718">
      <w:pPr>
        <w:pStyle w:val="ListParagraph"/>
        <w:numPr>
          <w:ilvl w:val="0"/>
          <w:numId w:val="1"/>
        </w:numPr>
      </w:pPr>
      <w:r>
        <w:t xml:space="preserve">Analysis of augmentation </w:t>
      </w:r>
      <w:r w:rsidR="00A25F3C">
        <w:t>2017-</w:t>
      </w:r>
      <w:r w:rsidR="0043597B">
        <w:t xml:space="preserve">2022 </w:t>
      </w:r>
      <w:r>
        <w:t>(</w:t>
      </w:r>
      <w:hyperlink r:id="rId8" w:history="1">
        <w:r w:rsidR="00FA50B9" w:rsidRPr="00FA50B9">
          <w:rPr>
            <w:rStyle w:val="Hyperlink"/>
          </w:rPr>
          <w:t>Evaluation of Sediment Augmentation Report</w:t>
        </w:r>
      </w:hyperlink>
      <w:r w:rsidR="0043597B">
        <w:rPr>
          <w:rStyle w:val="Hyperlink"/>
        </w:rPr>
        <w:t xml:space="preserve">, </w:t>
      </w:r>
      <w:hyperlink r:id="rId9" w:history="1">
        <w:r w:rsidR="0043597B" w:rsidRPr="0043597B">
          <w:rPr>
            <w:rStyle w:val="Hyperlink"/>
          </w:rPr>
          <w:t>Addendum</w:t>
        </w:r>
      </w:hyperlink>
      <w:r>
        <w:t>)</w:t>
      </w:r>
    </w:p>
    <w:p w14:paraId="63AD1197" w14:textId="7D898CD5" w:rsidR="00881F0C" w:rsidRDefault="00881F0C" w:rsidP="004B1718">
      <w:pPr>
        <w:pStyle w:val="ListParagraph"/>
        <w:numPr>
          <w:ilvl w:val="1"/>
          <w:numId w:val="1"/>
        </w:numPr>
      </w:pPr>
      <w:r>
        <w:t>Data collected</w:t>
      </w:r>
    </w:p>
    <w:p w14:paraId="37890741" w14:textId="15E037D5" w:rsidR="00881F0C" w:rsidRDefault="00C67421" w:rsidP="00881F0C">
      <w:pPr>
        <w:pStyle w:val="ListParagraph"/>
        <w:numPr>
          <w:ilvl w:val="2"/>
          <w:numId w:val="1"/>
        </w:numPr>
      </w:pPr>
      <w:r>
        <w:t xml:space="preserve">Annual </w:t>
      </w:r>
      <w:r w:rsidR="00455FBD">
        <w:t>Topo-b</w:t>
      </w:r>
      <w:r w:rsidR="00881F0C">
        <w:t>athymetric LiDAR</w:t>
      </w:r>
    </w:p>
    <w:p w14:paraId="13002C89" w14:textId="2DF1C9AE" w:rsidR="005054E0" w:rsidRDefault="005054E0" w:rsidP="00881F0C">
      <w:pPr>
        <w:pStyle w:val="ListParagraph"/>
        <w:numPr>
          <w:ilvl w:val="2"/>
          <w:numId w:val="1"/>
        </w:numPr>
      </w:pPr>
      <w:r>
        <w:t>Annual PRRIP aerial imagery since 2007</w:t>
      </w:r>
    </w:p>
    <w:p w14:paraId="6FC03E2B" w14:textId="60457ECA" w:rsidR="00881F0C" w:rsidRDefault="00881F0C" w:rsidP="00684913">
      <w:pPr>
        <w:pStyle w:val="ListParagraph"/>
        <w:numPr>
          <w:ilvl w:val="2"/>
          <w:numId w:val="1"/>
        </w:numPr>
      </w:pPr>
      <w:r>
        <w:t>Stream gage records</w:t>
      </w:r>
    </w:p>
    <w:p w14:paraId="5537604A" w14:textId="447E8D3A" w:rsidR="005054E0" w:rsidRDefault="005054E0" w:rsidP="00684913">
      <w:pPr>
        <w:pStyle w:val="ListParagraph"/>
        <w:numPr>
          <w:ilvl w:val="2"/>
          <w:numId w:val="1"/>
        </w:numPr>
      </w:pPr>
      <w:r>
        <w:t>Historic transects (USBR, Tetra Tech)</w:t>
      </w:r>
    </w:p>
    <w:p w14:paraId="0EEE7C8F" w14:textId="32638861" w:rsidR="005054E0" w:rsidRDefault="005054E0" w:rsidP="00684913">
      <w:pPr>
        <w:pStyle w:val="ListParagraph"/>
        <w:numPr>
          <w:ilvl w:val="2"/>
          <w:numId w:val="1"/>
        </w:numPr>
      </w:pPr>
      <w:r>
        <w:t>2009</w:t>
      </w:r>
      <w:r w:rsidR="00FC2467">
        <w:t xml:space="preserve"> and 2012</w:t>
      </w:r>
      <w:r>
        <w:t xml:space="preserve"> PRRIP 1D HEC-RAS model</w:t>
      </w:r>
      <w:r w:rsidR="00FC2467">
        <w:t>s</w:t>
      </w:r>
    </w:p>
    <w:p w14:paraId="65EBAD34" w14:textId="210368DB" w:rsidR="00FC2467" w:rsidRDefault="00FC2467" w:rsidP="00684913">
      <w:pPr>
        <w:pStyle w:val="ListParagraph"/>
        <w:numPr>
          <w:ilvl w:val="2"/>
          <w:numId w:val="1"/>
        </w:numPr>
      </w:pPr>
      <w:r>
        <w:t>2016 – 2022 2D hydraulic models</w:t>
      </w:r>
    </w:p>
    <w:p w14:paraId="4A467246" w14:textId="4494CAE3" w:rsidR="005054E0" w:rsidRDefault="005054E0" w:rsidP="00684913">
      <w:pPr>
        <w:pStyle w:val="ListParagraph"/>
        <w:numPr>
          <w:ilvl w:val="2"/>
          <w:numId w:val="1"/>
        </w:numPr>
      </w:pPr>
      <w:r>
        <w:t>Historic aerial imagery</w:t>
      </w:r>
    </w:p>
    <w:p w14:paraId="527BDCA7" w14:textId="4941281F" w:rsidR="004B1718" w:rsidRDefault="004B1718" w:rsidP="004B1718">
      <w:pPr>
        <w:pStyle w:val="ListParagraph"/>
        <w:numPr>
          <w:ilvl w:val="1"/>
          <w:numId w:val="1"/>
        </w:numPr>
      </w:pPr>
      <w:r>
        <w:t>Analyses performed</w:t>
      </w:r>
    </w:p>
    <w:p w14:paraId="45073A87" w14:textId="749EE60F" w:rsidR="004B1718" w:rsidRDefault="004B1718" w:rsidP="004B1718">
      <w:pPr>
        <w:pStyle w:val="ListParagraph"/>
        <w:numPr>
          <w:ilvl w:val="2"/>
          <w:numId w:val="1"/>
        </w:numPr>
      </w:pPr>
      <w:r>
        <w:t>Analysis of</w:t>
      </w:r>
      <w:r w:rsidR="005054E0">
        <w:t xml:space="preserve"> incision trends vs. predictions</w:t>
      </w:r>
      <w:r>
        <w:t xml:space="preserve"> (</w:t>
      </w:r>
      <w:hyperlink r:id="rId10" w:history="1">
        <w:r w:rsidRPr="0043597B">
          <w:rPr>
            <w:rStyle w:val="Hyperlink"/>
          </w:rPr>
          <w:t>Murphy et al</w:t>
        </w:r>
        <w:r w:rsidR="00157FC9" w:rsidRPr="0043597B">
          <w:rPr>
            <w:rStyle w:val="Hyperlink"/>
          </w:rPr>
          <w:t>.</w:t>
        </w:r>
        <w:r w:rsidR="00937766" w:rsidRPr="0043597B">
          <w:rPr>
            <w:rStyle w:val="Hyperlink"/>
          </w:rPr>
          <w:t xml:space="preserve"> </w:t>
        </w:r>
        <w:r w:rsidR="002E0C32" w:rsidRPr="0043597B">
          <w:rPr>
            <w:rStyle w:val="Hyperlink"/>
          </w:rPr>
          <w:t>2004</w:t>
        </w:r>
      </w:hyperlink>
      <w:r>
        <w:t>)</w:t>
      </w:r>
    </w:p>
    <w:p w14:paraId="2B3DF57E" w14:textId="35DA2706" w:rsidR="004B1718" w:rsidRDefault="00EA5583" w:rsidP="004B1718">
      <w:pPr>
        <w:pStyle w:val="ListParagraph"/>
        <w:numPr>
          <w:ilvl w:val="2"/>
          <w:numId w:val="1"/>
        </w:numPr>
      </w:pPr>
      <w:r>
        <w:t>Specific gage analysis</w:t>
      </w:r>
    </w:p>
    <w:p w14:paraId="676CA0D6" w14:textId="55AF6B55" w:rsidR="00EA5583" w:rsidRDefault="00EA5583" w:rsidP="004B1718">
      <w:pPr>
        <w:pStyle w:val="ListParagraph"/>
        <w:numPr>
          <w:ilvl w:val="2"/>
          <w:numId w:val="1"/>
        </w:numPr>
      </w:pPr>
      <w:r>
        <w:t>Sinuosity</w:t>
      </w:r>
    </w:p>
    <w:p w14:paraId="5E29DD3D" w14:textId="7375D83D" w:rsidR="00EA5583" w:rsidRDefault="00EA5583" w:rsidP="004B1718">
      <w:pPr>
        <w:pStyle w:val="ListParagraph"/>
        <w:numPr>
          <w:ilvl w:val="2"/>
          <w:numId w:val="1"/>
        </w:numPr>
      </w:pPr>
      <w:r>
        <w:t>R</w:t>
      </w:r>
      <w:r w:rsidR="00157FC9">
        <w:t>elative Elevation Model</w:t>
      </w:r>
    </w:p>
    <w:p w14:paraId="69363DD4" w14:textId="57A6E15F" w:rsidR="00157FC9" w:rsidRDefault="00EA5583" w:rsidP="00157FC9">
      <w:pPr>
        <w:pStyle w:val="ListParagraph"/>
        <w:numPr>
          <w:ilvl w:val="2"/>
          <w:numId w:val="1"/>
        </w:numPr>
      </w:pPr>
      <w:r>
        <w:t>Longitudinal Profile – Changepoint analysis</w:t>
      </w:r>
    </w:p>
    <w:p w14:paraId="27E1489D" w14:textId="0569083A" w:rsidR="00157FC9" w:rsidRDefault="00157FC9" w:rsidP="000F2975">
      <w:pPr>
        <w:pStyle w:val="ListParagraph"/>
        <w:numPr>
          <w:ilvl w:val="2"/>
          <w:numId w:val="1"/>
        </w:numPr>
      </w:pPr>
      <w:r>
        <w:t>Wetted Width</w:t>
      </w:r>
    </w:p>
    <w:p w14:paraId="7ED469F2" w14:textId="6638FA3C" w:rsidR="00157FC9" w:rsidRDefault="00157FC9" w:rsidP="000F2975">
      <w:pPr>
        <w:pStyle w:val="ListParagraph"/>
        <w:numPr>
          <w:ilvl w:val="2"/>
          <w:numId w:val="1"/>
        </w:numPr>
      </w:pPr>
      <w:r>
        <w:t>Volume change analysis</w:t>
      </w:r>
    </w:p>
    <w:p w14:paraId="6C43A6D6" w14:textId="227F9FC0" w:rsidR="004B1718" w:rsidRDefault="004B1718" w:rsidP="004B1718">
      <w:pPr>
        <w:pStyle w:val="ListParagraph"/>
        <w:numPr>
          <w:ilvl w:val="1"/>
          <w:numId w:val="1"/>
        </w:numPr>
      </w:pPr>
      <w:r>
        <w:t>Key findings</w:t>
      </w:r>
    </w:p>
    <w:p w14:paraId="33BEBAC7" w14:textId="2AB81386" w:rsidR="008B1A48" w:rsidRDefault="004A63BD" w:rsidP="00183A1D">
      <w:pPr>
        <w:pStyle w:val="ListParagraph"/>
        <w:numPr>
          <w:ilvl w:val="2"/>
          <w:numId w:val="1"/>
        </w:numPr>
      </w:pPr>
      <w:r>
        <w:t xml:space="preserve">Incision has been progressing more slowly than predicted due to natural channel adjustment (reduction in bed incision and increase in sinuosity). </w:t>
      </w:r>
    </w:p>
    <w:p w14:paraId="24391B53" w14:textId="77777777" w:rsidR="00360585" w:rsidRDefault="00360585" w:rsidP="00360585">
      <w:pPr>
        <w:pStyle w:val="ListParagraph"/>
        <w:numPr>
          <w:ilvl w:val="2"/>
          <w:numId w:val="1"/>
        </w:numPr>
      </w:pPr>
      <w:r>
        <w:lastRenderedPageBreak/>
        <w:t>Average b</w:t>
      </w:r>
      <w:r w:rsidR="004A63BD">
        <w:t>ed erosion reduced by 20-40k cy/yr (45%-60%) during the augmentation period</w:t>
      </w:r>
      <w:r>
        <w:t xml:space="preserve"> in the J2 Return Channel</w:t>
      </w:r>
      <w:r w:rsidR="004A63BD">
        <w:t>.</w:t>
      </w:r>
    </w:p>
    <w:p w14:paraId="522E2A92" w14:textId="47A97322" w:rsidR="00183A1D" w:rsidRDefault="00360585" w:rsidP="00360585">
      <w:pPr>
        <w:pStyle w:val="ListParagraph"/>
        <w:numPr>
          <w:ilvl w:val="2"/>
          <w:numId w:val="1"/>
        </w:numPr>
      </w:pPr>
      <w:r>
        <w:t xml:space="preserve">The effects of augmentation were not detectable downstream of Overton Bridge. The reach from Overton to the Kearney Canal Diversion (KCD) continues to be dynamic </w:t>
      </w:r>
      <w:r w:rsidR="000A3ACB">
        <w:t>without a discernable trend of aggradation or degradation</w:t>
      </w:r>
      <w:r>
        <w:t>.</w:t>
      </w:r>
      <w:r w:rsidR="004A63BD">
        <w:t xml:space="preserve"> </w:t>
      </w:r>
    </w:p>
    <w:p w14:paraId="4F94BAB4" w14:textId="2500EE57" w:rsidR="00157FC9" w:rsidRDefault="00183A1D" w:rsidP="008B1A48">
      <w:pPr>
        <w:pStyle w:val="ListParagraph"/>
        <w:numPr>
          <w:ilvl w:val="2"/>
          <w:numId w:val="1"/>
        </w:numPr>
      </w:pPr>
      <w:r>
        <w:t xml:space="preserve">Planform change </w:t>
      </w:r>
      <w:r w:rsidR="000F2975">
        <w:t xml:space="preserve">continued </w:t>
      </w:r>
      <w:r w:rsidR="00360585">
        <w:t>to progress</w:t>
      </w:r>
      <w:r w:rsidR="00270781">
        <w:t xml:space="preserve"> through the lower half of the J2 Channel. This was noted in continued channel consolidation and incision near </w:t>
      </w:r>
      <w:r>
        <w:t>station 70k</w:t>
      </w:r>
      <w:r w:rsidR="00270781">
        <w:t xml:space="preserve">. </w:t>
      </w:r>
    </w:p>
    <w:p w14:paraId="3FBF4229" w14:textId="2735CB6B" w:rsidR="00881F0C" w:rsidRDefault="00881F0C" w:rsidP="00881F0C">
      <w:pPr>
        <w:pStyle w:val="ListParagraph"/>
        <w:numPr>
          <w:ilvl w:val="0"/>
          <w:numId w:val="1"/>
        </w:numPr>
      </w:pPr>
      <w:r>
        <w:t>Analysis of no-augmentation</w:t>
      </w:r>
    </w:p>
    <w:p w14:paraId="312E4D3C" w14:textId="7DB9E04D" w:rsidR="00881F0C" w:rsidRDefault="005B4E93" w:rsidP="00881F0C">
      <w:pPr>
        <w:pStyle w:val="ListParagraph"/>
        <w:numPr>
          <w:ilvl w:val="1"/>
          <w:numId w:val="1"/>
        </w:numPr>
      </w:pPr>
      <w:r>
        <w:t xml:space="preserve">Data to </w:t>
      </w:r>
      <w:r w:rsidR="00684913">
        <w:t>collect.</w:t>
      </w:r>
    </w:p>
    <w:p w14:paraId="46CA9B80" w14:textId="462DB6B7" w:rsidR="005B4E93" w:rsidRDefault="005054E0" w:rsidP="005B4E93">
      <w:pPr>
        <w:pStyle w:val="ListParagraph"/>
        <w:numPr>
          <w:ilvl w:val="2"/>
          <w:numId w:val="1"/>
        </w:numPr>
      </w:pPr>
      <w:r>
        <w:t>Continue collecting</w:t>
      </w:r>
    </w:p>
    <w:p w14:paraId="05114DFC" w14:textId="77777777" w:rsidR="00937766" w:rsidRDefault="00C67421" w:rsidP="00937766">
      <w:pPr>
        <w:pStyle w:val="ListParagraph"/>
        <w:numPr>
          <w:ilvl w:val="3"/>
          <w:numId w:val="1"/>
        </w:numPr>
      </w:pPr>
      <w:r>
        <w:t xml:space="preserve">Annual </w:t>
      </w:r>
      <w:r w:rsidR="00455FBD">
        <w:t>Topo-b</w:t>
      </w:r>
      <w:r w:rsidR="005B4E93">
        <w:t>athy</w:t>
      </w:r>
      <w:r w:rsidR="00455FBD">
        <w:t>metric</w:t>
      </w:r>
      <w:r w:rsidR="005B4E93">
        <w:t xml:space="preserve"> LiDAR</w:t>
      </w:r>
    </w:p>
    <w:p w14:paraId="09AE61BD" w14:textId="2F6B15E2" w:rsidR="00937766" w:rsidRDefault="00937766" w:rsidP="00937766">
      <w:pPr>
        <w:pStyle w:val="ListParagraph"/>
        <w:numPr>
          <w:ilvl w:val="3"/>
          <w:numId w:val="1"/>
        </w:numPr>
      </w:pPr>
      <w:r>
        <w:t xml:space="preserve">Annual PRRIP aerial imagery </w:t>
      </w:r>
    </w:p>
    <w:p w14:paraId="4BF32487" w14:textId="527C08DE" w:rsidR="005B4E93" w:rsidRDefault="005B4E93" w:rsidP="00684913">
      <w:pPr>
        <w:pStyle w:val="ListParagraph"/>
        <w:numPr>
          <w:ilvl w:val="3"/>
          <w:numId w:val="1"/>
        </w:numPr>
      </w:pPr>
      <w:r>
        <w:t>Stream gage records</w:t>
      </w:r>
    </w:p>
    <w:p w14:paraId="2D135A99" w14:textId="678885DE" w:rsidR="00937766" w:rsidRDefault="00937766" w:rsidP="00684913">
      <w:pPr>
        <w:pStyle w:val="ListParagraph"/>
        <w:numPr>
          <w:ilvl w:val="3"/>
          <w:numId w:val="1"/>
        </w:numPr>
      </w:pPr>
      <w:r>
        <w:t xml:space="preserve">Annual </w:t>
      </w:r>
      <w:r w:rsidR="00FC2467">
        <w:t xml:space="preserve">2D </w:t>
      </w:r>
      <w:r>
        <w:t>hy</w:t>
      </w:r>
      <w:r w:rsidR="00FC2467">
        <w:t>draulic</w:t>
      </w:r>
      <w:r>
        <w:t xml:space="preserve"> model</w:t>
      </w:r>
    </w:p>
    <w:p w14:paraId="0A290B26" w14:textId="54C69062" w:rsidR="003927F5" w:rsidRDefault="00B84644" w:rsidP="00B84644">
      <w:pPr>
        <w:pStyle w:val="ListParagraph"/>
        <w:numPr>
          <w:ilvl w:val="2"/>
          <w:numId w:val="1"/>
        </w:numPr>
      </w:pPr>
      <w:r>
        <w:t>New data to collect</w:t>
      </w:r>
    </w:p>
    <w:p w14:paraId="55D270AF" w14:textId="46A0BEB7" w:rsidR="005B4E93" w:rsidRDefault="00B84644" w:rsidP="005B4E93">
      <w:pPr>
        <w:pStyle w:val="ListParagraph"/>
        <w:numPr>
          <w:ilvl w:val="3"/>
          <w:numId w:val="1"/>
        </w:numPr>
      </w:pPr>
      <w:r>
        <w:t>S</w:t>
      </w:r>
      <w:r w:rsidR="005B4E93">
        <w:t>tream gage at Cook for J2 channel – USGS</w:t>
      </w:r>
    </w:p>
    <w:p w14:paraId="6238ADF5" w14:textId="23FEC677" w:rsidR="005B4E93" w:rsidRDefault="00FC2467" w:rsidP="005B4E93">
      <w:pPr>
        <w:pStyle w:val="ListParagraph"/>
        <w:numPr>
          <w:ilvl w:val="4"/>
          <w:numId w:val="1"/>
        </w:numPr>
      </w:pPr>
      <w:r>
        <w:t xml:space="preserve">Previous estimates of J2 Channel flow were based solely on hydro releases and did not include baseflow or breakthrough channel flow. This made these estimates highly subject to underestimation. </w:t>
      </w:r>
      <w:r w:rsidR="00F84174">
        <w:t>The new g</w:t>
      </w:r>
      <w:r w:rsidR="00313873">
        <w:t xml:space="preserve">age will </w:t>
      </w:r>
      <w:r w:rsidR="00F84174">
        <w:t xml:space="preserve">correct this by </w:t>
      </w:r>
      <w:r w:rsidR="00313873">
        <w:t>collect</w:t>
      </w:r>
      <w:r w:rsidR="00F84174">
        <w:t>ing</w:t>
      </w:r>
      <w:r w:rsidR="00313873">
        <w:t xml:space="preserve"> </w:t>
      </w:r>
      <w:r w:rsidR="00C07620">
        <w:t xml:space="preserve">real time flows in </w:t>
      </w:r>
      <w:r w:rsidR="00F84174">
        <w:t xml:space="preserve">the lower end of the channel, helping us better understand the relationship between flow and sediment flux </w:t>
      </w:r>
      <w:r w:rsidR="00004DFE">
        <w:t>(See Figure 1.)</w:t>
      </w:r>
    </w:p>
    <w:p w14:paraId="38BB250B" w14:textId="698D4288" w:rsidR="005B4E93" w:rsidRDefault="00B84644" w:rsidP="005B4E93">
      <w:pPr>
        <w:pStyle w:val="ListParagraph"/>
        <w:numPr>
          <w:ilvl w:val="3"/>
          <w:numId w:val="1"/>
        </w:numPr>
      </w:pPr>
      <w:r>
        <w:t>S</w:t>
      </w:r>
      <w:r w:rsidR="005B4E93">
        <w:t>tage logger in breakthrough</w:t>
      </w:r>
      <w:r w:rsidR="009E15C2">
        <w:t xml:space="preserve"> channel</w:t>
      </w:r>
    </w:p>
    <w:p w14:paraId="1A5AC19D" w14:textId="1072907F" w:rsidR="005B4E93" w:rsidRDefault="004946A1" w:rsidP="005B4E93">
      <w:pPr>
        <w:pStyle w:val="ListParagraph"/>
        <w:numPr>
          <w:ilvl w:val="4"/>
          <w:numId w:val="1"/>
        </w:numPr>
      </w:pPr>
      <w:r>
        <w:t>Recording the stage in the breakthrough channel we will a</w:t>
      </w:r>
      <w:r w:rsidR="00C07620">
        <w:t xml:space="preserve">llow us to </w:t>
      </w:r>
      <w:r>
        <w:t xml:space="preserve">further </w:t>
      </w:r>
      <w:r w:rsidR="00C07620">
        <w:t xml:space="preserve">monitor </w:t>
      </w:r>
      <w:r>
        <w:t xml:space="preserve">flows reaching the J2 channel and estimate the amount coming from the breakthrough channel. </w:t>
      </w:r>
    </w:p>
    <w:p w14:paraId="0DBB23CB" w14:textId="5CFF9DEC" w:rsidR="005B4E93" w:rsidRDefault="00B84644" w:rsidP="005B4E93">
      <w:pPr>
        <w:pStyle w:val="ListParagraph"/>
        <w:numPr>
          <w:ilvl w:val="3"/>
          <w:numId w:val="1"/>
        </w:numPr>
      </w:pPr>
      <w:r>
        <w:t>T</w:t>
      </w:r>
      <w:r w:rsidR="0026226D">
        <w:t xml:space="preserve">ri-annual </w:t>
      </w:r>
      <w:r w:rsidR="005B4E93">
        <w:t>cross section surveys at anchor points</w:t>
      </w:r>
      <w:r w:rsidR="00767592">
        <w:t xml:space="preserve"> 33-36</w:t>
      </w:r>
      <w:r w:rsidR="005B4E93">
        <w:t xml:space="preserve"> and </w:t>
      </w:r>
      <w:r w:rsidR="004A63BD">
        <w:t xml:space="preserve">Station </w:t>
      </w:r>
      <w:r w:rsidR="005B4E93">
        <w:t>70k</w:t>
      </w:r>
    </w:p>
    <w:p w14:paraId="3784B45E" w14:textId="4FFA0FC2" w:rsidR="005B4E93" w:rsidRDefault="00C07620" w:rsidP="005B4E93">
      <w:pPr>
        <w:pStyle w:val="ListParagraph"/>
        <w:numPr>
          <w:ilvl w:val="4"/>
          <w:numId w:val="1"/>
        </w:numPr>
      </w:pPr>
      <w:r>
        <w:t>Cross sectional surveys will</w:t>
      </w:r>
      <w:r w:rsidR="000632EF">
        <w:t xml:space="preserve"> provide sub-annual</w:t>
      </w:r>
      <w:r w:rsidR="00B669B3">
        <w:t xml:space="preserve"> (March, July, November)</w:t>
      </w:r>
      <w:r w:rsidR="000632EF">
        <w:t xml:space="preserve"> elevation data throughout the reach </w:t>
      </w:r>
      <w:r w:rsidR="00B84644">
        <w:t xml:space="preserve">at anchor points with historic data, </w:t>
      </w:r>
      <w:r w:rsidR="000632EF">
        <w:t>and at actively transitioning locations (Station 70k). These surveys will also be used to check the accuracy of LiDAR data collected each November</w:t>
      </w:r>
      <w:r w:rsidR="00B669B3">
        <w:t>.</w:t>
      </w:r>
      <w:r w:rsidR="00FC2467">
        <w:t xml:space="preserve"> </w:t>
      </w:r>
      <w:r w:rsidR="009E0394">
        <w:t xml:space="preserve">See Figure 2 for cross section </w:t>
      </w:r>
      <w:r w:rsidR="003C7A1D">
        <w:t>locations.</w:t>
      </w:r>
    </w:p>
    <w:p w14:paraId="66D0B59D" w14:textId="77777777" w:rsidR="000E58EC" w:rsidRDefault="000E58EC" w:rsidP="000E58EC"/>
    <w:p w14:paraId="19156F18" w14:textId="009E810E" w:rsidR="005B4E93" w:rsidRDefault="005B4E93" w:rsidP="005B4E93">
      <w:pPr>
        <w:pStyle w:val="ListParagraph"/>
        <w:numPr>
          <w:ilvl w:val="3"/>
          <w:numId w:val="1"/>
        </w:numPr>
      </w:pPr>
      <w:r>
        <w:lastRenderedPageBreak/>
        <w:t>Sediment samples</w:t>
      </w:r>
    </w:p>
    <w:p w14:paraId="55BB7991" w14:textId="5052882C" w:rsidR="00BD31BD" w:rsidRDefault="00BD31BD" w:rsidP="00BD31BD">
      <w:pPr>
        <w:pStyle w:val="ListParagraph"/>
        <w:numPr>
          <w:ilvl w:val="4"/>
          <w:numId w:val="1"/>
        </w:numPr>
      </w:pPr>
      <w:r>
        <w:t xml:space="preserve">Three bed sediment samples will be collected from each anchor point every year in November. </w:t>
      </w:r>
      <w:r w:rsidR="00B84644">
        <w:t xml:space="preserve">Sieve analysis will be conducted to determine sediment size gradations. </w:t>
      </w:r>
      <w:r>
        <w:t xml:space="preserve">The data will provide insight into </w:t>
      </w:r>
      <w:r w:rsidR="00B84644">
        <w:t xml:space="preserve">channel bed material size that will </w:t>
      </w:r>
      <w:r>
        <w:t xml:space="preserve">assist in development of any future sediment models. </w:t>
      </w:r>
    </w:p>
    <w:p w14:paraId="4D1AFD4F" w14:textId="4731F237" w:rsidR="005B4E93" w:rsidRDefault="009E64CB" w:rsidP="005B4E93">
      <w:pPr>
        <w:pStyle w:val="ListParagraph"/>
        <w:numPr>
          <w:ilvl w:val="0"/>
          <w:numId w:val="1"/>
        </w:numPr>
      </w:pPr>
      <w:r>
        <w:t>Study Questions</w:t>
      </w:r>
    </w:p>
    <w:p w14:paraId="18226535" w14:textId="7C72D634" w:rsidR="005B4E93" w:rsidRDefault="00CA0F4A" w:rsidP="005B4E93">
      <w:pPr>
        <w:pStyle w:val="ListParagraph"/>
        <w:numPr>
          <w:ilvl w:val="1"/>
          <w:numId w:val="1"/>
        </w:numPr>
      </w:pPr>
      <w:r>
        <w:t xml:space="preserve"> </w:t>
      </w:r>
      <w:r w:rsidR="009E64CB">
        <w:t>How much will b</w:t>
      </w:r>
      <w:r>
        <w:t>ed erosion</w:t>
      </w:r>
      <w:r w:rsidR="009E64CB">
        <w:t xml:space="preserve"> and incision</w:t>
      </w:r>
      <w:r>
        <w:t xml:space="preserve"> </w:t>
      </w:r>
      <w:r w:rsidR="00B669B3">
        <w:t xml:space="preserve">change </w:t>
      </w:r>
      <w:r w:rsidR="009E64CB">
        <w:t xml:space="preserve">compared to the average of 2017-2022? </w:t>
      </w:r>
    </w:p>
    <w:p w14:paraId="324D0AFA" w14:textId="4E4D62C4" w:rsidR="00706182" w:rsidRDefault="00706182" w:rsidP="00706182">
      <w:pPr>
        <w:pStyle w:val="ListParagraph"/>
        <w:numPr>
          <w:ilvl w:val="2"/>
          <w:numId w:val="1"/>
        </w:numPr>
      </w:pPr>
      <w:r>
        <w:t>Volume change (</w:t>
      </w:r>
      <w:r w:rsidR="009F4E7F">
        <w:t>Section 4.3.2)</w:t>
      </w:r>
    </w:p>
    <w:p w14:paraId="53CB1E0F" w14:textId="2B7C9814" w:rsidR="00706182" w:rsidRDefault="009F4E7F" w:rsidP="00706182">
      <w:pPr>
        <w:pStyle w:val="ListParagraph"/>
        <w:numPr>
          <w:ilvl w:val="3"/>
          <w:numId w:val="1"/>
        </w:numPr>
      </w:pPr>
      <w:r>
        <w:t>Volume change estimates will be developed via LiDAR raster differencing</w:t>
      </w:r>
      <w:r w:rsidR="00B2238B">
        <w:t xml:space="preserve"> &amp; hydraulic modeling. </w:t>
      </w:r>
      <w:r w:rsidR="00FD4744">
        <w:t>W</w:t>
      </w:r>
      <w:r w:rsidR="00B2238B">
        <w:t xml:space="preserve">ater surface elevation rasters </w:t>
      </w:r>
      <w:r w:rsidR="00FD4744">
        <w:t>will be used to</w:t>
      </w:r>
      <w:r w:rsidR="00B2238B">
        <w:t xml:space="preserve"> identify areas of lateral erosion on a year-to-year basis. </w:t>
      </w:r>
      <w:r w:rsidR="00FD4744">
        <w:t xml:space="preserve">This will allow quantification of total, lateral, and bed erosion volumes. </w:t>
      </w:r>
    </w:p>
    <w:p w14:paraId="551BD7B4" w14:textId="687144D2" w:rsidR="005C213A" w:rsidRDefault="005C213A" w:rsidP="00706182">
      <w:pPr>
        <w:pStyle w:val="ListParagraph"/>
        <w:numPr>
          <w:ilvl w:val="3"/>
          <w:numId w:val="1"/>
        </w:numPr>
      </w:pPr>
      <w:r>
        <w:t xml:space="preserve">Volume flux will be calculated by dividing the mass of volume change by time and wetted area. </w:t>
      </w:r>
      <w:r w:rsidR="000A3ACB">
        <w:t>Similar to the distinction of discharge and specific discharge, normalizing our volume change by wetted area in each sub-reach will give us the specific transport in each sub-reach. This may further highlight sub-reaches that are in disequilibrium.</w:t>
      </w:r>
    </w:p>
    <w:p w14:paraId="7D4D9C53" w14:textId="4D50DD21" w:rsidR="00FD4744" w:rsidRDefault="00FD4744" w:rsidP="00FD4744">
      <w:pPr>
        <w:pStyle w:val="ListParagraph"/>
        <w:numPr>
          <w:ilvl w:val="2"/>
          <w:numId w:val="1"/>
        </w:numPr>
      </w:pPr>
      <w:r>
        <w:t>Long-pro elevations and change point analysis (Section 3.4 and 3.5)</w:t>
      </w:r>
    </w:p>
    <w:p w14:paraId="4D9F630A" w14:textId="7BCEF518" w:rsidR="00FD4744" w:rsidRDefault="00FD4744" w:rsidP="00BD31BD">
      <w:pPr>
        <w:pStyle w:val="ListParagraph"/>
        <w:numPr>
          <w:ilvl w:val="3"/>
          <w:numId w:val="1"/>
        </w:numPr>
      </w:pPr>
      <w:r>
        <w:rPr>
          <w:sz w:val="23"/>
          <w:szCs w:val="23"/>
        </w:rPr>
        <w:t>Longitudinal profiles of the deepest point of the channel (thalweg) provide a more specific numerical measure of spatial and temporal patterns of aggradation or degradation. Performing an annual change-point analysis will provide insight into whether or not the reach is shifting towards a degradational trend that it exhibited pre-augmentation.</w:t>
      </w:r>
    </w:p>
    <w:p w14:paraId="2548A564" w14:textId="7FB9362C" w:rsidR="005B4E93" w:rsidRDefault="009E64CB" w:rsidP="005B4E93">
      <w:pPr>
        <w:pStyle w:val="ListParagraph"/>
        <w:numPr>
          <w:ilvl w:val="1"/>
          <w:numId w:val="1"/>
        </w:numPr>
      </w:pPr>
      <w:r>
        <w:t>How will p</w:t>
      </w:r>
      <w:r w:rsidR="00CA0F4A">
        <w:t xml:space="preserve">lanform change </w:t>
      </w:r>
      <w:r>
        <w:t xml:space="preserve">progress </w:t>
      </w:r>
      <w:r w:rsidR="00B669B3">
        <w:t>without augmentation</w:t>
      </w:r>
      <w:r>
        <w:t>?</w:t>
      </w:r>
    </w:p>
    <w:p w14:paraId="7A8D4B79" w14:textId="47EBDD64" w:rsidR="009E15C2" w:rsidRDefault="00CA0F4A" w:rsidP="005B4E93">
      <w:pPr>
        <w:pStyle w:val="ListParagraph"/>
        <w:numPr>
          <w:ilvl w:val="2"/>
          <w:numId w:val="1"/>
        </w:numPr>
      </w:pPr>
      <w:r>
        <w:t>Wetted width analysis</w:t>
      </w:r>
    </w:p>
    <w:p w14:paraId="0B4D5188" w14:textId="7C9F9615" w:rsidR="001E590D" w:rsidRDefault="001E590D" w:rsidP="001E590D">
      <w:pPr>
        <w:pStyle w:val="ListParagraph"/>
        <w:numPr>
          <w:ilvl w:val="3"/>
          <w:numId w:val="1"/>
        </w:numPr>
      </w:pPr>
      <w:r>
        <w:t xml:space="preserve">Wetted width will be </w:t>
      </w:r>
      <w:r w:rsidR="000E4846">
        <w:t>measured at 500-ft intervals from J2 to the Kearney Canal Diversion</w:t>
      </w:r>
      <w:r w:rsidR="0082022C">
        <w:t xml:space="preserve"> based on yearly hydraulic modeling results. Widths during augmentation will be compared to widths during the no-</w:t>
      </w:r>
      <w:r w:rsidR="00510B38">
        <w:t>augmentation</w:t>
      </w:r>
      <w:r w:rsidR="0082022C">
        <w:t xml:space="preserve"> period. Prior to 2017 wetted widths can only be measured at less frequent intervals which did not indicate any temporal trend in our analysis (Section 3.6). By monitoring width at a finer scale, we</w:t>
      </w:r>
      <w:r w:rsidR="009E64CB">
        <w:t xml:space="preserve"> might</w:t>
      </w:r>
      <w:r w:rsidR="0082022C">
        <w:t xml:space="preserve"> see widths remain stable or reduce in the absence of augmentation </w:t>
      </w:r>
      <w:r w:rsidR="009E64CB">
        <w:t>if</w:t>
      </w:r>
      <w:r w:rsidR="0082022C">
        <w:t xml:space="preserve"> the channel consolidates from braided to wandering planforms. </w:t>
      </w:r>
    </w:p>
    <w:p w14:paraId="1E2E5765" w14:textId="791F264B" w:rsidR="003E6CC9" w:rsidRDefault="004806D1" w:rsidP="004806D1">
      <w:pPr>
        <w:pStyle w:val="ListParagraph"/>
        <w:numPr>
          <w:ilvl w:val="2"/>
          <w:numId w:val="1"/>
        </w:numPr>
      </w:pPr>
      <w:r>
        <w:lastRenderedPageBreak/>
        <w:t>Sinuosity</w:t>
      </w:r>
    </w:p>
    <w:p w14:paraId="16D0D5B3" w14:textId="1BEAB1A9" w:rsidR="003E6CC9" w:rsidRDefault="003E6CC9" w:rsidP="003E6CC9">
      <w:pPr>
        <w:pStyle w:val="ListParagraph"/>
        <w:numPr>
          <w:ilvl w:val="3"/>
          <w:numId w:val="1"/>
        </w:numPr>
      </w:pPr>
      <w:r>
        <w:t xml:space="preserve">We will calculate sinuosity over the full reach and over smaller sub-reaches to monitor planform change. </w:t>
      </w:r>
      <w:r w:rsidR="000A3ACB">
        <w:t xml:space="preserve">To do this we will delineate a “low flow” thalweg along the deepest part of the channel based on LiDAR data and a “high flow” thalweg based on the modeled highest velocity path at the peak of the normal hydro-cycle (1,650 cfs). This will allow us to evaluate the effect of flow on sinuosity, as well as monitor planform change through time. </w:t>
      </w:r>
    </w:p>
    <w:p w14:paraId="29E1AF88" w14:textId="1F2B0469" w:rsidR="003E6CC9" w:rsidRDefault="003E6CC9" w:rsidP="004806D1">
      <w:pPr>
        <w:pStyle w:val="ListParagraph"/>
        <w:numPr>
          <w:ilvl w:val="2"/>
          <w:numId w:val="1"/>
        </w:numPr>
      </w:pPr>
      <w:r>
        <w:t>Slope</w:t>
      </w:r>
    </w:p>
    <w:p w14:paraId="07E31FE3" w14:textId="5B9BE955" w:rsidR="001D0867" w:rsidRDefault="001D0867" w:rsidP="001D0867">
      <w:pPr>
        <w:pStyle w:val="ListParagraph"/>
        <w:numPr>
          <w:ilvl w:val="3"/>
          <w:numId w:val="1"/>
        </w:numPr>
      </w:pPr>
      <w:r>
        <w:t xml:space="preserve">We will continue to calculate longitudinal slope along the reach and evaluate it as an indicator for planform change. Slope decrease indicates transition towards wandering planform. </w:t>
      </w:r>
    </w:p>
    <w:p w14:paraId="0670DAD1" w14:textId="77777777" w:rsidR="00207371" w:rsidRDefault="00207371" w:rsidP="00BD31BD">
      <w:pPr>
        <w:pStyle w:val="ListParagraph"/>
        <w:ind w:left="2160"/>
      </w:pPr>
    </w:p>
    <w:p w14:paraId="5A7A2125" w14:textId="689ED62A" w:rsidR="0082022C" w:rsidRDefault="00BD31BD" w:rsidP="000E58EC">
      <w:pPr>
        <w:pStyle w:val="ListParagraph"/>
        <w:numPr>
          <w:ilvl w:val="1"/>
          <w:numId w:val="1"/>
        </w:numPr>
      </w:pPr>
      <w:r>
        <w:t>H</w:t>
      </w:r>
      <w:r w:rsidR="001D0867">
        <w:t xml:space="preserve">ow does </w:t>
      </w:r>
      <w:r w:rsidR="00950112">
        <w:t>sediment volume change</w:t>
      </w:r>
      <w:r w:rsidR="0082022C">
        <w:t xml:space="preserve"> var</w:t>
      </w:r>
      <w:r w:rsidR="001D0867">
        <w:t>y</w:t>
      </w:r>
      <w:r w:rsidR="0082022C">
        <w:t xml:space="preserve"> with flow magnitude</w:t>
      </w:r>
      <w:r w:rsidR="000E58EC">
        <w:t>?</w:t>
      </w:r>
    </w:p>
    <w:p w14:paraId="523218ED" w14:textId="0E706444" w:rsidR="0082022C" w:rsidRDefault="0082022C" w:rsidP="0082022C">
      <w:pPr>
        <w:pStyle w:val="ListParagraph"/>
        <w:numPr>
          <w:ilvl w:val="2"/>
          <w:numId w:val="1"/>
        </w:numPr>
      </w:pPr>
      <w:r>
        <w:t>Normalization of volume change based on flow</w:t>
      </w:r>
    </w:p>
    <w:p w14:paraId="30E793BE" w14:textId="15D21F4F" w:rsidR="0082022C" w:rsidRDefault="0082022C" w:rsidP="00950112">
      <w:pPr>
        <w:pStyle w:val="ListParagraph"/>
        <w:numPr>
          <w:ilvl w:val="3"/>
          <w:numId w:val="1"/>
        </w:numPr>
      </w:pPr>
      <w:r>
        <w:t xml:space="preserve">Using </w:t>
      </w:r>
      <w:r w:rsidR="004806D1">
        <w:t xml:space="preserve">newly available gage data at Cook and on the breakthrough channel we will use the method discussed in our report to normalize volume change by the flow that occurred over the time when that change occurred. This will help to identify erosion occurring due to instability (sediment imbalance) from erosion due to high flow. </w:t>
      </w:r>
      <w:r w:rsidR="00950112">
        <w:t>Understanding this relationship</w:t>
      </w:r>
      <w:r w:rsidR="004806D1">
        <w:t xml:space="preserve"> will also enable us to estimate the </w:t>
      </w:r>
      <w:r w:rsidR="00085983">
        <w:t>sediment deficit</w:t>
      </w:r>
      <w:r w:rsidR="004806D1">
        <w:t xml:space="preserve"> based on different possible flow regimes. </w:t>
      </w:r>
    </w:p>
    <w:p w14:paraId="5EDB48C0" w14:textId="4E507846" w:rsidR="00240D4B" w:rsidRDefault="00240D4B" w:rsidP="000E58EC">
      <w:pPr>
        <w:pStyle w:val="ListParagraph"/>
        <w:numPr>
          <w:ilvl w:val="1"/>
          <w:numId w:val="1"/>
        </w:numPr>
      </w:pPr>
      <w:r>
        <w:t xml:space="preserve">Can we </w:t>
      </w:r>
      <w:r w:rsidR="003509DC">
        <w:t xml:space="preserve">calculate the sediment deficit </w:t>
      </w:r>
      <w:r>
        <w:t xml:space="preserve">on an annual basis using our volume change analyses? </w:t>
      </w:r>
    </w:p>
    <w:p w14:paraId="05E1CFD2" w14:textId="2C91579F" w:rsidR="004806D1" w:rsidRDefault="00240D4B" w:rsidP="000E58EC">
      <w:pPr>
        <w:pStyle w:val="ListParagraph"/>
        <w:numPr>
          <w:ilvl w:val="2"/>
          <w:numId w:val="1"/>
        </w:numPr>
      </w:pPr>
      <w:r>
        <w:t>S</w:t>
      </w:r>
      <w:r w:rsidR="004806D1">
        <w:t>ediment budget calculations</w:t>
      </w:r>
    </w:p>
    <w:p w14:paraId="1C61AFBD" w14:textId="0550982E" w:rsidR="004806D1" w:rsidRDefault="001D0867" w:rsidP="004806D1">
      <w:pPr>
        <w:pStyle w:val="ListParagraph"/>
        <w:numPr>
          <w:ilvl w:val="3"/>
          <w:numId w:val="1"/>
        </w:numPr>
      </w:pPr>
      <w:r>
        <w:t xml:space="preserve">Using results from the volume change analysis, we </w:t>
      </w:r>
      <w:r w:rsidR="003509DC">
        <w:t>will estimate</w:t>
      </w:r>
      <w:r>
        <w:t xml:space="preserve"> the sediment deficit each year </w:t>
      </w:r>
      <w:r w:rsidR="00337EFC">
        <w:t xml:space="preserve">and </w:t>
      </w:r>
      <w:r w:rsidR="005C213A">
        <w:t xml:space="preserve">may be able to </w:t>
      </w:r>
      <w:r w:rsidR="002F5A8D">
        <w:t>recommend an</w:t>
      </w:r>
      <w:r w:rsidR="00337EFC">
        <w:t xml:space="preserve"> augmentation volume</w:t>
      </w:r>
      <w:r w:rsidR="002F5A8D">
        <w:t xml:space="preserve"> calculated to achieve sediment balance</w:t>
      </w:r>
      <w:r w:rsidR="00337EFC">
        <w:t xml:space="preserve"> based on an assumed range of future flows. </w:t>
      </w:r>
      <w:r w:rsidR="003509DC">
        <w:t xml:space="preserve">Testing this calculation with additional years of modeling will inform how confident we should be in our predictions. </w:t>
      </w:r>
    </w:p>
    <w:p w14:paraId="1964EDF7" w14:textId="67F35BA5" w:rsidR="00147CC1" w:rsidRDefault="00A25F3C" w:rsidP="00147CC1">
      <w:pPr>
        <w:pStyle w:val="ListParagraph"/>
        <w:numPr>
          <w:ilvl w:val="0"/>
          <w:numId w:val="1"/>
        </w:numPr>
      </w:pPr>
      <w:r>
        <w:t>Action triggers</w:t>
      </w:r>
    </w:p>
    <w:p w14:paraId="74C41E8D" w14:textId="6DCECFD2" w:rsidR="00A25F3C" w:rsidRDefault="00A74CCF" w:rsidP="00A25F3C">
      <w:pPr>
        <w:pStyle w:val="ListParagraph"/>
        <w:numPr>
          <w:ilvl w:val="1"/>
          <w:numId w:val="1"/>
        </w:numPr>
      </w:pPr>
      <w:r>
        <w:t>Relative elevation model (REM)</w:t>
      </w:r>
      <w:r w:rsidR="00147CC1">
        <w:t xml:space="preserve"> analysis of </w:t>
      </w:r>
      <w:r>
        <w:t>area of interest (AOI</w:t>
      </w:r>
      <w:r w:rsidR="000D1BE0">
        <w:t>-1</w:t>
      </w:r>
      <w:r>
        <w:t>)</w:t>
      </w:r>
      <w:r w:rsidR="00F4003D">
        <w:t xml:space="preserve"> </w:t>
      </w:r>
      <w:r w:rsidR="002F5A8D">
        <w:t xml:space="preserve">with </w:t>
      </w:r>
      <w:r w:rsidR="008E0B52">
        <w:t xml:space="preserve">depth below geomorphic grade line (DBG) </w:t>
      </w:r>
      <w:r w:rsidR="002F5A8D">
        <w:t>≥9ft</w:t>
      </w:r>
      <w:r w:rsidR="008E0B52">
        <w:t>.</w:t>
      </w:r>
      <w:r w:rsidR="00767592">
        <w:t xml:space="preserve"> </w:t>
      </w:r>
      <w:r w:rsidR="00F4003D">
        <w:t>(Figure 3.)</w:t>
      </w:r>
    </w:p>
    <w:p w14:paraId="600B267D" w14:textId="30EFA82A" w:rsidR="002C56F7" w:rsidRDefault="00A74CCF" w:rsidP="00E12929">
      <w:pPr>
        <w:pStyle w:val="ListParagraph"/>
        <w:numPr>
          <w:ilvl w:val="2"/>
          <w:numId w:val="1"/>
        </w:numPr>
      </w:pPr>
      <w:r>
        <w:t>AOI</w:t>
      </w:r>
      <w:r w:rsidR="000D1BE0">
        <w:t>-1</w:t>
      </w:r>
      <w:r>
        <w:t xml:space="preserve"> </w:t>
      </w:r>
      <w:r w:rsidR="002C56F7">
        <w:t>will reach from Station 70k</w:t>
      </w:r>
      <w:r w:rsidR="002F5A8D" w:rsidRPr="002F5A8D">
        <w:t xml:space="preserve"> </w:t>
      </w:r>
      <w:r w:rsidR="002F5A8D">
        <w:t>downstream to the Overton bridge</w:t>
      </w:r>
      <w:r w:rsidR="003509DC">
        <w:t>. Station 70K is</w:t>
      </w:r>
      <w:r w:rsidR="002C56F7">
        <w:t xml:space="preserve"> a transitional area where the river shifts from a </w:t>
      </w:r>
      <w:r w:rsidR="002F5A8D">
        <w:t xml:space="preserve">meandering planform to </w:t>
      </w:r>
      <w:r w:rsidR="002C56F7">
        <w:t xml:space="preserve">braided </w:t>
      </w:r>
      <w:r w:rsidR="00E93463">
        <w:t>(see section 3.8 of report)</w:t>
      </w:r>
      <w:r w:rsidR="002C56F7">
        <w:t>. Within the AOI, we will c</w:t>
      </w:r>
      <w:r w:rsidR="009E15C2">
        <w:t>ompare the difference of the rasterized geomorphic grade line</w:t>
      </w:r>
      <w:r w:rsidR="003509DC">
        <w:t xml:space="preserve"> (GGL)</w:t>
      </w:r>
      <w:r w:rsidR="002C56F7">
        <w:t xml:space="preserve"> (see pg. 28-29 in report attached above) and</w:t>
      </w:r>
      <w:r>
        <w:t xml:space="preserve"> the</w:t>
      </w:r>
      <w:r w:rsidR="002C56F7">
        <w:t xml:space="preserve"> most recent LiDAR to generate a</w:t>
      </w:r>
      <w:r w:rsidR="00337EFC">
        <w:t>n</w:t>
      </w:r>
      <w:r w:rsidR="002C56F7">
        <w:t xml:space="preserve"> REM. </w:t>
      </w:r>
      <w:r w:rsidR="003509DC">
        <w:t xml:space="preserve">This </w:t>
      </w:r>
      <w:r w:rsidR="003509DC">
        <w:lastRenderedPageBreak/>
        <w:t xml:space="preserve">area is becoming progressively deeper compared to the GGL and this change is currently best observed in the </w:t>
      </w:r>
      <w:r w:rsidR="0099458C">
        <w:t>progression</w:t>
      </w:r>
      <w:r w:rsidR="003509DC">
        <w:t xml:space="preserve"> of </w:t>
      </w:r>
      <w:r w:rsidR="007642AB">
        <w:t xml:space="preserve">the </w:t>
      </w:r>
      <w:r w:rsidR="003509DC">
        <w:t xml:space="preserve">area </w:t>
      </w:r>
      <w:r w:rsidR="007642AB">
        <w:t>≥9</w:t>
      </w:r>
      <w:r w:rsidR="006A7371">
        <w:t xml:space="preserve"> </w:t>
      </w:r>
      <w:r w:rsidR="003509DC">
        <w:t xml:space="preserve">feet below the GGL. </w:t>
      </w:r>
      <w:r w:rsidR="007642AB">
        <w:t>Between 2016 and 2022 this class increased from 4.62 to 15.94 acres, with most of the increase occurring along a continuous, incisional thalweg. Similar increases in area occurred at other depth classes, however</w:t>
      </w:r>
      <w:r w:rsidR="000E58EC">
        <w:t xml:space="preserve">, deeper depth classes are not found in AOI-1 and increases in shallower classes </w:t>
      </w:r>
      <w:r w:rsidR="00922258">
        <w:t xml:space="preserve">are the result of erosion expanding these depth classes </w:t>
      </w:r>
      <w:r w:rsidR="007642AB">
        <w:t xml:space="preserve">in bank areas rather than </w:t>
      </w:r>
      <w:r w:rsidR="00922258">
        <w:t>incision</w:t>
      </w:r>
      <w:r w:rsidR="000E58EC">
        <w:t xml:space="preserve"> progressing</w:t>
      </w:r>
      <w:r w:rsidR="00922258">
        <w:t xml:space="preserve"> </w:t>
      </w:r>
      <w:r w:rsidR="007642AB">
        <w:t>along the thalweg</w:t>
      </w:r>
      <w:r w:rsidR="000E58EC">
        <w:t xml:space="preserve"> (Figure 4)</w:t>
      </w:r>
      <w:r w:rsidR="007642AB">
        <w:t xml:space="preserve">. </w:t>
      </w:r>
      <w:r w:rsidR="002C56F7">
        <w:t xml:space="preserve">By measuring the area </w:t>
      </w:r>
      <w:r w:rsidR="008E0B52">
        <w:t>where DBG is</w:t>
      </w:r>
      <w:r w:rsidR="002C56F7">
        <w:t xml:space="preserve"> </w:t>
      </w:r>
      <w:r w:rsidR="007642AB">
        <w:t xml:space="preserve">≥9 ft </w:t>
      </w:r>
      <w:r>
        <w:t>annually within the AOI</w:t>
      </w:r>
      <w:r w:rsidR="000D1BE0">
        <w:t>-1</w:t>
      </w:r>
      <w:r>
        <w:t xml:space="preserve">, we can develop a rate </w:t>
      </w:r>
      <w:r w:rsidR="000158CB">
        <w:t>at which</w:t>
      </w:r>
      <w:r>
        <w:t xml:space="preserve"> incision </w:t>
      </w:r>
      <w:r w:rsidR="000158CB">
        <w:t xml:space="preserve">progresses </w:t>
      </w:r>
      <m:oMath>
        <m:d>
          <m:dPr>
            <m:ctrlPr>
              <w:rPr>
                <w:rFonts w:ascii="Cambria Math" w:hAnsi="Cambria Math"/>
                <w:i/>
              </w:rPr>
            </m:ctrlPr>
          </m:dPr>
          <m:e>
            <m:f>
              <m:fPr>
                <m:ctrlPr>
                  <w:rPr>
                    <w:rFonts w:ascii="Cambria Math" w:hAnsi="Cambria Math"/>
                    <w:i/>
                  </w:rPr>
                </m:ctrlPr>
              </m:fPr>
              <m:num>
                <m:r>
                  <w:rPr>
                    <w:rFonts w:ascii="Cambria Math" w:hAnsi="Cambria Math"/>
                  </w:rPr>
                  <m:t>Acres</m:t>
                </m:r>
              </m:num>
              <m:den>
                <m:r>
                  <w:rPr>
                    <w:rFonts w:ascii="Cambria Math" w:hAnsi="Cambria Math"/>
                  </w:rPr>
                  <m:t>year</m:t>
                </m:r>
              </m:den>
            </m:f>
          </m:e>
        </m:d>
      </m:oMath>
      <w:r>
        <w:t xml:space="preserve"> </w:t>
      </w:r>
      <w:r w:rsidR="00922258">
        <w:t xml:space="preserve">along the thalweg </w:t>
      </w:r>
      <w:r>
        <w:t>to use as an action trigger.</w:t>
      </w:r>
      <w:r w:rsidR="00000AA7">
        <w:t xml:space="preserve"> </w:t>
      </w:r>
      <w:r w:rsidR="007642AB">
        <w:t>During augmentation (201</w:t>
      </w:r>
      <w:r w:rsidR="00C63F73">
        <w:t>6</w:t>
      </w:r>
      <w:r w:rsidR="007642AB">
        <w:t xml:space="preserve"> – 2022) the average incision</w:t>
      </w:r>
      <w:r w:rsidR="00C63F73">
        <w:t xml:space="preserve"> </w:t>
      </w:r>
      <w:r w:rsidR="00B741E9">
        <w:t>progression</w:t>
      </w:r>
      <w:r w:rsidR="007642AB">
        <w:t xml:space="preserve"> rate was</w:t>
      </w:r>
      <w:r w:rsidR="007642AB">
        <w:rPr>
          <w:rStyle w:val="CommentReference"/>
        </w:rPr>
        <w:t xml:space="preserve"> </w:t>
      </w:r>
      <w:r w:rsidR="00000AA7">
        <w:t xml:space="preserve">~2 acres/year , with a maximum of ~5 acres/year </w:t>
      </w:r>
      <w:r w:rsidR="00337EFC">
        <w:t>since 2016</w:t>
      </w:r>
      <w:r w:rsidR="00DA2A60">
        <w:t xml:space="preserve"> (Figure </w:t>
      </w:r>
      <w:r w:rsidR="00B741E9">
        <w:t>5</w:t>
      </w:r>
      <w:r w:rsidR="00DA2A60">
        <w:t>)</w:t>
      </w:r>
      <w:r w:rsidR="00000AA7">
        <w:t>.</w:t>
      </w:r>
      <w:r w:rsidR="00F4003D">
        <w:t xml:space="preserve"> Figure </w:t>
      </w:r>
      <w:r w:rsidR="00B741E9">
        <w:t>6</w:t>
      </w:r>
      <w:r w:rsidR="003F11F2">
        <w:t xml:space="preserve"> </w:t>
      </w:r>
      <w:r w:rsidR="00F4003D">
        <w:t>shows change from 201</w:t>
      </w:r>
      <w:r w:rsidR="00C63F73">
        <w:t>6</w:t>
      </w:r>
      <w:r w:rsidR="00F4003D">
        <w:t xml:space="preserve"> to 202</w:t>
      </w:r>
      <w:r w:rsidR="00C63F73">
        <w:t>2</w:t>
      </w:r>
      <w:r w:rsidR="00F4003D">
        <w:t xml:space="preserve"> as an example.</w:t>
      </w:r>
      <w:r w:rsidR="00803BA6">
        <w:t xml:space="preserve"> The </w:t>
      </w:r>
      <w:r w:rsidR="00395B05">
        <w:t>progression</w:t>
      </w:r>
      <w:r w:rsidR="00803BA6">
        <w:t xml:space="preserve"> rate is expected to increase in the absence of augmentation. </w:t>
      </w:r>
    </w:p>
    <w:p w14:paraId="2988E906" w14:textId="14DDC61A" w:rsidR="009E15C2" w:rsidRDefault="009E15C2" w:rsidP="009E15C2">
      <w:pPr>
        <w:pStyle w:val="ListParagraph"/>
        <w:numPr>
          <w:ilvl w:val="2"/>
          <w:numId w:val="1"/>
        </w:numPr>
      </w:pPr>
      <w:r>
        <w:t>Action trigger structure</w:t>
      </w:r>
    </w:p>
    <w:p w14:paraId="2D329EF0" w14:textId="0C039998" w:rsidR="00942DBC" w:rsidRDefault="00494C97" w:rsidP="0013573A">
      <w:pPr>
        <w:ind w:left="720" w:firstLine="720"/>
      </w:pPr>
      <w:r>
        <w:rPr>
          <w:b/>
          <w:bCs/>
          <w:noProof/>
          <w:u w:val="single"/>
        </w:rPr>
        <w:drawing>
          <wp:inline distT="0" distB="0" distL="0" distR="0" wp14:anchorId="43F91B4B" wp14:editId="09F0D275">
            <wp:extent cx="5268903" cy="2171933"/>
            <wp:effectExtent l="0" t="0" r="8255" b="0"/>
            <wp:docPr id="2038525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52511" name="Picture 1"/>
                    <pic:cNvPicPr>
                      <a:picLocks noChangeAspect="1" noChangeArrowheads="1"/>
                    </pic:cNvPicPr>
                  </pic:nvPicPr>
                  <pic:blipFill>
                    <a:blip r:embed="rId11">
                      <a:extLst>
                        <a:ext uri="{28A0092B-C50C-407E-A947-70E740481C1C}">
                          <a14:useLocalDpi xmlns:a14="http://schemas.microsoft.com/office/drawing/2010/main" val="0"/>
                        </a:ext>
                        <a:ext uri="{96DAC541-7B7A-43D3-8B79-37D633B846F1}">
                          <asvg:svgBlip xmlns:asvg="http://schemas.microsoft.com/office/drawing/2016/SVG/main" r:embed="rId12"/>
                        </a:ext>
                      </a:extLst>
                    </a:blip>
                    <a:srcRect t="2222" b="2222"/>
                    <a:stretch>
                      <a:fillRect/>
                    </a:stretch>
                  </pic:blipFill>
                  <pic:spPr bwMode="auto">
                    <a:xfrm>
                      <a:off x="0" y="0"/>
                      <a:ext cx="5268903" cy="2171933"/>
                    </a:xfrm>
                    <a:prstGeom prst="rect">
                      <a:avLst/>
                    </a:prstGeom>
                    <a:extLst>
                      <a:ext uri="{53640926-AAD7-44D8-BBD7-CCE9431645EC}">
                        <a14:shadowObscured xmlns:a14="http://schemas.microsoft.com/office/drawing/2010/main"/>
                      </a:ext>
                    </a:extLst>
                  </pic:spPr>
                </pic:pic>
              </a:graphicData>
            </a:graphic>
          </wp:inline>
        </w:drawing>
      </w:r>
    </w:p>
    <w:p w14:paraId="4C3C2464" w14:textId="5368C230" w:rsidR="000D1BE0" w:rsidRDefault="000D1BE0" w:rsidP="000D1BE0">
      <w:pPr>
        <w:pStyle w:val="ListParagraph"/>
        <w:numPr>
          <w:ilvl w:val="1"/>
          <w:numId w:val="1"/>
        </w:numPr>
      </w:pPr>
      <w:r>
        <w:t xml:space="preserve">REM analysis of AOI-2 with </w:t>
      </w:r>
      <w:r w:rsidR="008E0B52">
        <w:t xml:space="preserve">DBG </w:t>
      </w:r>
      <w:r>
        <w:t>≥5ft</w:t>
      </w:r>
      <w:r w:rsidR="008E0B52">
        <w:t>.</w:t>
      </w:r>
      <w:r>
        <w:t xml:space="preserve"> </w:t>
      </w:r>
    </w:p>
    <w:p w14:paraId="0EAADCF0" w14:textId="56C095D9" w:rsidR="000D1BE0" w:rsidRDefault="000D1BE0" w:rsidP="000D1BE0">
      <w:pPr>
        <w:pStyle w:val="ListParagraph"/>
        <w:numPr>
          <w:ilvl w:val="2"/>
          <w:numId w:val="1"/>
        </w:numPr>
      </w:pPr>
      <w:r>
        <w:t xml:space="preserve">AOI-2 will span the first </w:t>
      </w:r>
      <w:r w:rsidR="008F1312">
        <w:t>3</w:t>
      </w:r>
      <w:r>
        <w:t xml:space="preserve"> miles downstream from Overton Bridge</w:t>
      </w:r>
      <w:r w:rsidR="003F11F2">
        <w:t xml:space="preserve">. (Figure </w:t>
      </w:r>
      <w:r w:rsidR="00B741E9">
        <w:t>7</w:t>
      </w:r>
      <w:r w:rsidR="003F11F2">
        <w:t>.)</w:t>
      </w:r>
      <w:r w:rsidR="008F1312">
        <w:t xml:space="preserve"> The trigger will function in the same way as described in section a. Downstream of the Overton Bridge, the ≥5ft depth class is most demonstrative of downstream thalweg incision. The class has not shown signs of </w:t>
      </w:r>
      <w:r w:rsidR="00B741E9">
        <w:t>progression</w:t>
      </w:r>
      <w:r w:rsidR="008F1312">
        <w:t xml:space="preserve"> since 2016, however it has been shown to </w:t>
      </w:r>
      <w:r w:rsidR="00C80CEC">
        <w:t>be</w:t>
      </w:r>
      <w:r w:rsidR="008F1312">
        <w:t xml:space="preserve"> highly dynamic. As an example, the class increased by nearly 12 acres in 2019 following high flows, then decreased nearly 12 acres the next year</w:t>
      </w:r>
      <w:r w:rsidR="001A6926">
        <w:t xml:space="preserve"> (Figure 8)</w:t>
      </w:r>
      <w:r w:rsidR="008F1312">
        <w:t xml:space="preserve">. </w:t>
      </w:r>
      <w:r w:rsidR="008313C3">
        <w:t xml:space="preserve">Figure </w:t>
      </w:r>
      <w:r w:rsidR="00B741E9">
        <w:t>9</w:t>
      </w:r>
      <w:r w:rsidR="008313C3">
        <w:t xml:space="preserve"> shows the change in AOI-2 from 2016 to 2022.</w:t>
      </w:r>
    </w:p>
    <w:p w14:paraId="15DF6CBC" w14:textId="77777777" w:rsidR="008F1312" w:rsidRDefault="008F1312" w:rsidP="008F1312">
      <w:pPr>
        <w:pStyle w:val="ListParagraph"/>
        <w:numPr>
          <w:ilvl w:val="2"/>
          <w:numId w:val="1"/>
        </w:numPr>
      </w:pPr>
      <w:r>
        <w:lastRenderedPageBreak/>
        <w:t>Action trigger structure</w:t>
      </w:r>
    </w:p>
    <w:p w14:paraId="6AF1CF3E" w14:textId="01A6027B" w:rsidR="008F1312" w:rsidRDefault="008E0B52" w:rsidP="0013573A">
      <w:pPr>
        <w:ind w:left="720" w:firstLine="720"/>
      </w:pPr>
      <w:r>
        <w:rPr>
          <w:noProof/>
        </w:rPr>
        <w:drawing>
          <wp:inline distT="0" distB="0" distL="0" distR="0" wp14:anchorId="0A956F2F" wp14:editId="1972DBFB">
            <wp:extent cx="5212080" cy="2250281"/>
            <wp:effectExtent l="0" t="0" r="7620" b="0"/>
            <wp:docPr id="7959182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918219" name="Picture 2"/>
                    <pic:cNvPicPr>
                      <a:picLocks noChangeAspect="1" noChangeArrowheads="1"/>
                    </pic:cNvPicPr>
                  </pic:nvPicPr>
                  <pic:blipFill>
                    <a:blip r:embed="rId13">
                      <a:extLst>
                        <a:ext uri="{28A0092B-C50C-407E-A947-70E740481C1C}">
                          <a14:useLocalDpi xmlns:a14="http://schemas.microsoft.com/office/drawing/2010/main" val="0"/>
                        </a:ext>
                        <a:ext uri="{96DAC541-7B7A-43D3-8B79-37D633B846F1}">
                          <asvg:svgBlip xmlns:asvg="http://schemas.microsoft.com/office/drawing/2016/SVG/main" r:embed="rId14"/>
                        </a:ext>
                      </a:extLst>
                    </a:blip>
                    <a:stretch>
                      <a:fillRect/>
                    </a:stretch>
                  </pic:blipFill>
                  <pic:spPr bwMode="auto">
                    <a:xfrm>
                      <a:off x="0" y="0"/>
                      <a:ext cx="5212080" cy="2250281"/>
                    </a:xfrm>
                    <a:prstGeom prst="rect">
                      <a:avLst/>
                    </a:prstGeom>
                  </pic:spPr>
                </pic:pic>
              </a:graphicData>
            </a:graphic>
          </wp:inline>
        </w:drawing>
      </w:r>
      <w:r w:rsidR="008F1312">
        <w:t xml:space="preserve"> </w:t>
      </w:r>
    </w:p>
    <w:p w14:paraId="4F3B802F" w14:textId="6BE66D51" w:rsidR="00147CC1" w:rsidRDefault="00147CC1" w:rsidP="00147CC1">
      <w:pPr>
        <w:pStyle w:val="ListParagraph"/>
        <w:numPr>
          <w:ilvl w:val="1"/>
          <w:numId w:val="1"/>
        </w:numPr>
      </w:pPr>
      <w:r>
        <w:t xml:space="preserve"> Overton</w:t>
      </w:r>
      <w:r w:rsidR="00803BA6">
        <w:t xml:space="preserve"> Bridge Gage Analysis</w:t>
      </w:r>
    </w:p>
    <w:p w14:paraId="2AEF64AA" w14:textId="7DD06011" w:rsidR="00803BA6" w:rsidRDefault="00803BA6" w:rsidP="0013573A">
      <w:pPr>
        <w:pStyle w:val="ListParagraph"/>
        <w:numPr>
          <w:ilvl w:val="2"/>
          <w:numId w:val="1"/>
        </w:numPr>
      </w:pPr>
      <w:r>
        <w:t xml:space="preserve">Monitoring changes at the Overton Bridge gage will allow us to leverage decades of historical measurements </w:t>
      </w:r>
      <w:r w:rsidR="00D77F72">
        <w:t xml:space="preserve">to evaluate changes in channel depth </w:t>
      </w:r>
      <w:r w:rsidR="00B71D78">
        <w:t xml:space="preserve">with flow over time </w:t>
      </w:r>
      <w:r w:rsidR="00D77F72">
        <w:t xml:space="preserve">at the Overton Bridge </w:t>
      </w:r>
      <w:r w:rsidR="00B71D78">
        <w:t>(between the J2-Channel and the Cottonwood Ranch Complex)</w:t>
      </w:r>
      <w:r>
        <w:t xml:space="preserve">. </w:t>
      </w:r>
      <w:r w:rsidR="00A127A4">
        <w:t xml:space="preserve">In </w:t>
      </w:r>
      <w:hyperlink r:id="rId15" w:history="1">
        <w:r w:rsidR="00A127A4" w:rsidRPr="005178FE">
          <w:rPr>
            <w:rStyle w:val="Hyperlink"/>
          </w:rPr>
          <w:t>the 201</w:t>
        </w:r>
        <w:r w:rsidR="0043597B" w:rsidRPr="005178FE">
          <w:rPr>
            <w:rStyle w:val="Hyperlink"/>
          </w:rPr>
          <w:t>2</w:t>
        </w:r>
        <w:r w:rsidR="00A127A4" w:rsidRPr="005178FE">
          <w:rPr>
            <w:rStyle w:val="Hyperlink"/>
          </w:rPr>
          <w:t xml:space="preserve"> Sediment Augmentation Pilot Study</w:t>
        </w:r>
      </w:hyperlink>
      <w:r w:rsidR="00A127A4">
        <w:t>, changes in water surface elevations at the gage for a given flow were used as an action trigger. A different method may be necessary in this case as the changes we expect to see on a year-to-year basis of no-augmentation may not be distinguishable from historical scatter. We are currently investigating the use of shift data as an alternative.</w:t>
      </w:r>
    </w:p>
    <w:p w14:paraId="4867B69F" w14:textId="77777777" w:rsidR="00906C38" w:rsidRDefault="00906C38" w:rsidP="00906C38"/>
    <w:p w14:paraId="52454634" w14:textId="77777777" w:rsidR="00906C38" w:rsidRDefault="00906C38" w:rsidP="00906C38"/>
    <w:p w14:paraId="6DB2B873" w14:textId="77777777" w:rsidR="00F4003D" w:rsidRDefault="00F4003D" w:rsidP="00906C38"/>
    <w:p w14:paraId="460DCCB5" w14:textId="77777777" w:rsidR="00906C38" w:rsidRDefault="00906C38" w:rsidP="00906C38"/>
    <w:p w14:paraId="1E7452DF" w14:textId="77777777" w:rsidR="00A90DDF" w:rsidRDefault="00A90DDF" w:rsidP="00906C38">
      <w:pPr>
        <w:rPr>
          <w:u w:val="single"/>
        </w:rPr>
      </w:pPr>
    </w:p>
    <w:p w14:paraId="72B12938" w14:textId="77777777" w:rsidR="00442123" w:rsidRDefault="00442123" w:rsidP="00906C38">
      <w:pPr>
        <w:rPr>
          <w:u w:val="single"/>
        </w:rPr>
      </w:pPr>
    </w:p>
    <w:p w14:paraId="0C679FD9" w14:textId="77777777" w:rsidR="00A90DDF" w:rsidRDefault="00A90DDF" w:rsidP="00906C38">
      <w:pPr>
        <w:rPr>
          <w:u w:val="single"/>
        </w:rPr>
      </w:pPr>
    </w:p>
    <w:p w14:paraId="666D7A2C" w14:textId="77777777" w:rsidR="00A90DDF" w:rsidRDefault="00A90DDF" w:rsidP="00906C38">
      <w:pPr>
        <w:rPr>
          <w:u w:val="single"/>
        </w:rPr>
      </w:pPr>
    </w:p>
    <w:p w14:paraId="4F1E8276" w14:textId="77777777" w:rsidR="00046242" w:rsidRDefault="00046242" w:rsidP="00046242">
      <w:pPr>
        <w:rPr>
          <w:sz w:val="24"/>
          <w:szCs w:val="24"/>
        </w:rPr>
      </w:pPr>
      <w:r w:rsidRPr="0011474C">
        <w:rPr>
          <w:noProof/>
          <w:sz w:val="24"/>
          <w:szCs w:val="24"/>
        </w:rPr>
        <w:lastRenderedPageBreak/>
        <w:drawing>
          <wp:inline distT="0" distB="0" distL="0" distR="0" wp14:anchorId="1EB6DE70" wp14:editId="35154C41">
            <wp:extent cx="5029200" cy="3078235"/>
            <wp:effectExtent l="0" t="0" r="0" b="8255"/>
            <wp:docPr id="1882266012" name="Picture 1"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266012" name="Picture 1" descr="A map of a river&#10;&#10;Description automatically generated"/>
                    <pic:cNvPicPr/>
                  </pic:nvPicPr>
                  <pic:blipFill>
                    <a:blip r:embed="rId16"/>
                    <a:stretch>
                      <a:fillRect/>
                    </a:stretch>
                  </pic:blipFill>
                  <pic:spPr>
                    <a:xfrm>
                      <a:off x="0" y="0"/>
                      <a:ext cx="5096044" cy="3119148"/>
                    </a:xfrm>
                    <a:prstGeom prst="rect">
                      <a:avLst/>
                    </a:prstGeom>
                  </pic:spPr>
                </pic:pic>
              </a:graphicData>
            </a:graphic>
          </wp:inline>
        </w:drawing>
      </w:r>
    </w:p>
    <w:p w14:paraId="6870DA59" w14:textId="385E3549" w:rsidR="00046242" w:rsidRPr="00046242" w:rsidRDefault="00046242" w:rsidP="00906C38">
      <w:pPr>
        <w:rPr>
          <w:b/>
          <w:bCs/>
          <w:sz w:val="24"/>
          <w:szCs w:val="24"/>
        </w:rPr>
      </w:pPr>
      <w:r>
        <w:rPr>
          <w:b/>
          <w:bCs/>
          <w:sz w:val="24"/>
          <w:szCs w:val="24"/>
        </w:rPr>
        <w:t>Figure 1. Proposed Gage Locations</w:t>
      </w:r>
    </w:p>
    <w:p w14:paraId="18B92C27" w14:textId="77777777" w:rsidR="00046242" w:rsidRDefault="00046242" w:rsidP="00046242">
      <w:pPr>
        <w:rPr>
          <w:u w:val="single"/>
        </w:rPr>
      </w:pPr>
      <w:r w:rsidRPr="00046242">
        <w:rPr>
          <w:noProof/>
          <w:u w:val="single"/>
        </w:rPr>
        <w:drawing>
          <wp:inline distT="0" distB="0" distL="0" distR="0" wp14:anchorId="34EDCA22" wp14:editId="407FCCBB">
            <wp:extent cx="5086350" cy="3098375"/>
            <wp:effectExtent l="0" t="0" r="0" b="6985"/>
            <wp:docPr id="643773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77397" name="Picture 1"/>
                    <pic:cNvPicPr/>
                  </pic:nvPicPr>
                  <pic:blipFill>
                    <a:blip r:embed="rId17">
                      <a:extLst>
                        <a:ext uri="{28A0092B-C50C-407E-A947-70E740481C1C}">
                          <a14:useLocalDpi xmlns:a14="http://schemas.microsoft.com/office/drawing/2010/main" val="0"/>
                        </a:ext>
                      </a:extLst>
                    </a:blip>
                    <a:stretch>
                      <a:fillRect/>
                    </a:stretch>
                  </pic:blipFill>
                  <pic:spPr>
                    <a:xfrm>
                      <a:off x="0" y="0"/>
                      <a:ext cx="5088798" cy="3099866"/>
                    </a:xfrm>
                    <a:prstGeom prst="rect">
                      <a:avLst/>
                    </a:prstGeom>
                  </pic:spPr>
                </pic:pic>
              </a:graphicData>
            </a:graphic>
          </wp:inline>
        </w:drawing>
      </w:r>
    </w:p>
    <w:p w14:paraId="17959167" w14:textId="33BB8147" w:rsidR="007E1BC4" w:rsidRDefault="00046242" w:rsidP="00F4003D">
      <w:pPr>
        <w:rPr>
          <w:b/>
          <w:noProof/>
          <w:sz w:val="24"/>
          <w:szCs w:val="24"/>
        </w:rPr>
      </w:pPr>
      <w:r>
        <w:rPr>
          <w:b/>
          <w:bCs/>
          <w:sz w:val="24"/>
          <w:szCs w:val="24"/>
        </w:rPr>
        <w:t>Figure 2. Proposed Survey Cross Sections</w:t>
      </w:r>
    </w:p>
    <w:p w14:paraId="31FF9E04" w14:textId="2CDC3979" w:rsidR="00F4003D" w:rsidRDefault="00F4003D" w:rsidP="00F4003D">
      <w:pPr>
        <w:rPr>
          <w:b/>
          <w:sz w:val="24"/>
          <w:szCs w:val="24"/>
        </w:rPr>
      </w:pPr>
      <w:r w:rsidRPr="00697B9B">
        <w:rPr>
          <w:b/>
          <w:noProof/>
          <w:sz w:val="24"/>
          <w:szCs w:val="24"/>
        </w:rPr>
        <w:lastRenderedPageBreak/>
        <w:drawing>
          <wp:inline distT="0" distB="0" distL="0" distR="0" wp14:anchorId="44F39722" wp14:editId="36DEE386">
            <wp:extent cx="4657275" cy="2253615"/>
            <wp:effectExtent l="0" t="0" r="0" b="0"/>
            <wp:docPr id="10824493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449382" name="Picture 1"/>
                    <pic:cNvPicPr/>
                  </pic:nvPicPr>
                  <pic:blipFill rotWithShape="1">
                    <a:blip r:embed="rId18">
                      <a:extLst>
                        <a:ext uri="{28A0092B-C50C-407E-A947-70E740481C1C}">
                          <a14:useLocalDpi xmlns:a14="http://schemas.microsoft.com/office/drawing/2010/main" val="0"/>
                        </a:ext>
                      </a:extLst>
                    </a:blip>
                    <a:srcRect l="47353" t="34021"/>
                    <a:stretch/>
                  </pic:blipFill>
                  <pic:spPr bwMode="auto">
                    <a:xfrm>
                      <a:off x="0" y="0"/>
                      <a:ext cx="4660790" cy="2255316"/>
                    </a:xfrm>
                    <a:prstGeom prst="rect">
                      <a:avLst/>
                    </a:prstGeom>
                    <a:ln>
                      <a:noFill/>
                    </a:ln>
                    <a:extLst>
                      <a:ext uri="{53640926-AAD7-44D8-BBD7-CCE9431645EC}">
                        <a14:shadowObscured xmlns:a14="http://schemas.microsoft.com/office/drawing/2010/main"/>
                      </a:ext>
                    </a:extLst>
                  </pic:spPr>
                </pic:pic>
              </a:graphicData>
            </a:graphic>
          </wp:inline>
        </w:drawing>
      </w:r>
    </w:p>
    <w:p w14:paraId="365DBB9F" w14:textId="12D69B51" w:rsidR="00F4003D" w:rsidRDefault="00F4003D" w:rsidP="00F4003D">
      <w:pPr>
        <w:rPr>
          <w:b/>
          <w:sz w:val="24"/>
          <w:szCs w:val="24"/>
        </w:rPr>
      </w:pPr>
      <w:r>
        <w:rPr>
          <w:b/>
          <w:sz w:val="24"/>
          <w:szCs w:val="24"/>
        </w:rPr>
        <w:t xml:space="preserve">Figure 3. REM Analysis </w:t>
      </w:r>
      <w:r w:rsidR="00337EFC">
        <w:rPr>
          <w:b/>
          <w:sz w:val="24"/>
          <w:szCs w:val="24"/>
        </w:rPr>
        <w:t>Area of Interest</w:t>
      </w:r>
      <w:r w:rsidR="0030403C">
        <w:rPr>
          <w:b/>
          <w:sz w:val="24"/>
          <w:szCs w:val="24"/>
        </w:rPr>
        <w:t>-1 (AOI-1)</w:t>
      </w:r>
    </w:p>
    <w:p w14:paraId="0B36E4B3" w14:textId="44CD2F8E" w:rsidR="00395B05" w:rsidRDefault="00395B05" w:rsidP="00F4003D">
      <w:pPr>
        <w:rPr>
          <w:b/>
          <w:sz w:val="24"/>
          <w:szCs w:val="24"/>
        </w:rPr>
      </w:pPr>
      <w:r>
        <w:rPr>
          <w:b/>
          <w:noProof/>
          <w:sz w:val="24"/>
          <w:szCs w:val="24"/>
        </w:rPr>
        <w:drawing>
          <wp:inline distT="0" distB="0" distL="0" distR="0" wp14:anchorId="0EA638A0" wp14:editId="5753C657">
            <wp:extent cx="5943600" cy="3975735"/>
            <wp:effectExtent l="0" t="0" r="0" b="5715"/>
            <wp:docPr id="180989454" name="Picture 1" descr="A group of colorful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89454" name="Picture 1" descr="A group of colorful lines&#10;&#10;Description automatically generated with medium confidenc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43600" cy="3975735"/>
                    </a:xfrm>
                    <a:prstGeom prst="rect">
                      <a:avLst/>
                    </a:prstGeom>
                  </pic:spPr>
                </pic:pic>
              </a:graphicData>
            </a:graphic>
          </wp:inline>
        </w:drawing>
      </w:r>
    </w:p>
    <w:p w14:paraId="718E87ED" w14:textId="4B630EE8" w:rsidR="00395B05" w:rsidRDefault="00395B05" w:rsidP="00F4003D">
      <w:pPr>
        <w:rPr>
          <w:b/>
          <w:sz w:val="24"/>
          <w:szCs w:val="24"/>
        </w:rPr>
      </w:pPr>
      <w:r>
        <w:rPr>
          <w:b/>
          <w:sz w:val="24"/>
          <w:szCs w:val="24"/>
        </w:rPr>
        <w:t xml:space="preserve">Figure </w:t>
      </w:r>
      <w:r>
        <w:rPr>
          <w:b/>
          <w:sz w:val="24"/>
          <w:szCs w:val="24"/>
        </w:rPr>
        <w:t>4</w:t>
      </w:r>
      <w:r>
        <w:rPr>
          <w:b/>
          <w:sz w:val="24"/>
          <w:szCs w:val="24"/>
        </w:rPr>
        <w:t>. REM Analysis Area of Interest-1 (AOI-1)</w:t>
      </w:r>
    </w:p>
    <w:p w14:paraId="041718EB" w14:textId="77777777" w:rsidR="00442123" w:rsidRDefault="00442123" w:rsidP="00442123">
      <w:pPr>
        <w:rPr>
          <w:b/>
          <w:sz w:val="24"/>
          <w:szCs w:val="24"/>
        </w:rPr>
      </w:pPr>
      <w:r>
        <w:rPr>
          <w:noProof/>
        </w:rPr>
        <w:lastRenderedPageBreak/>
        <w:drawing>
          <wp:inline distT="0" distB="0" distL="0" distR="0" wp14:anchorId="440B666B" wp14:editId="0464E1BA">
            <wp:extent cx="5514975" cy="3190875"/>
            <wp:effectExtent l="0" t="0" r="0" b="0"/>
            <wp:docPr id="1182094177" name="Chart 1">
              <a:extLst xmlns:a="http://schemas.openxmlformats.org/drawingml/2006/main">
                <a:ext uri="{FF2B5EF4-FFF2-40B4-BE49-F238E27FC236}">
                  <a16:creationId xmlns:a16="http://schemas.microsoft.com/office/drawing/2014/main" id="{2FE5AEF0-C756-DCD9-A042-06186B189B8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2664BFA5" w14:textId="508C1F54" w:rsidR="0030403C" w:rsidRDefault="00442123" w:rsidP="00442123">
      <w:pPr>
        <w:rPr>
          <w:b/>
          <w:sz w:val="24"/>
          <w:szCs w:val="24"/>
        </w:rPr>
      </w:pPr>
      <w:r>
        <w:rPr>
          <w:b/>
          <w:sz w:val="24"/>
          <w:szCs w:val="24"/>
        </w:rPr>
        <w:t xml:space="preserve">Figure </w:t>
      </w:r>
      <w:r w:rsidR="00395B05">
        <w:rPr>
          <w:b/>
          <w:sz w:val="24"/>
          <w:szCs w:val="24"/>
        </w:rPr>
        <w:t>5</w:t>
      </w:r>
      <w:r>
        <w:rPr>
          <w:b/>
          <w:sz w:val="24"/>
          <w:szCs w:val="24"/>
        </w:rPr>
        <w:t>. Incision progression rate for DBG class ≥9ft within AOI-1</w:t>
      </w:r>
    </w:p>
    <w:p w14:paraId="02523C45" w14:textId="77777777" w:rsidR="0030403C" w:rsidRDefault="0030403C" w:rsidP="00F4003D">
      <w:pPr>
        <w:rPr>
          <w:b/>
          <w:sz w:val="24"/>
          <w:szCs w:val="24"/>
        </w:rPr>
      </w:pPr>
    </w:p>
    <w:p w14:paraId="71D22806" w14:textId="14AC7FF1" w:rsidR="00F4003D" w:rsidRDefault="00D32E94" w:rsidP="00F4003D">
      <w:pPr>
        <w:rPr>
          <w:b/>
          <w:sz w:val="24"/>
          <w:szCs w:val="24"/>
        </w:rPr>
      </w:pPr>
      <w:r>
        <w:rPr>
          <w:noProof/>
        </w:rPr>
        <w:lastRenderedPageBreak/>
        <mc:AlternateContent>
          <mc:Choice Requires="wps">
            <w:drawing>
              <wp:anchor distT="0" distB="0" distL="114300" distR="114300" simplePos="0" relativeHeight="251661312" behindDoc="0" locked="0" layoutInCell="1" allowOverlap="1" wp14:anchorId="699738CD" wp14:editId="66E590EC">
                <wp:simplePos x="0" y="0"/>
                <wp:positionH relativeFrom="column">
                  <wp:posOffset>4743450</wp:posOffset>
                </wp:positionH>
                <wp:positionV relativeFrom="paragraph">
                  <wp:posOffset>2020570</wp:posOffset>
                </wp:positionV>
                <wp:extent cx="969645" cy="476250"/>
                <wp:effectExtent l="0" t="0" r="0" b="0"/>
                <wp:wrapNone/>
                <wp:docPr id="1811843791" name="Text Box 1"/>
                <wp:cNvGraphicFramePr/>
                <a:graphic xmlns:a="http://schemas.openxmlformats.org/drawingml/2006/main">
                  <a:graphicData uri="http://schemas.microsoft.com/office/word/2010/wordprocessingShape">
                    <wps:wsp>
                      <wps:cNvSpPr txBox="1"/>
                      <wps:spPr>
                        <a:xfrm>
                          <a:off x="0" y="0"/>
                          <a:ext cx="969645" cy="476250"/>
                        </a:xfrm>
                        <a:prstGeom prst="rect">
                          <a:avLst/>
                        </a:prstGeom>
                        <a:noFill/>
                        <a:ln>
                          <a:noFill/>
                        </a:ln>
                      </wps:spPr>
                      <wps:txbx>
                        <w:txbxContent>
                          <w:p w14:paraId="7FE8D24F" w14:textId="2DB46BED" w:rsidR="00D32E94" w:rsidRPr="00D32E94" w:rsidRDefault="00D32E94" w:rsidP="00D32E94">
                            <w:pPr>
                              <w:jc w:val="center"/>
                              <w:rPr>
                                <w:color w:val="000000" w:themeColor="text1"/>
                                <w:sz w:val="52"/>
                                <w:szCs w:val="5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32E94">
                              <w:rPr>
                                <w:color w:val="000000" w:themeColor="text1"/>
                                <w:sz w:val="52"/>
                                <w:szCs w:val="5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20</w:t>
                            </w:r>
                            <w:r>
                              <w:rPr>
                                <w:color w:val="000000" w:themeColor="text1"/>
                                <w:sz w:val="52"/>
                                <w:szCs w:val="5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99738CD" id="_x0000_t202" coordsize="21600,21600" o:spt="202" path="m,l,21600r21600,l21600,xe">
                <v:stroke joinstyle="miter"/>
                <v:path gradientshapeok="t" o:connecttype="rect"/>
              </v:shapetype>
              <v:shape id="Text Box 1" o:spid="_x0000_s1026" type="#_x0000_t202" style="position:absolute;margin-left:373.5pt;margin-top:159.1pt;width:76.35pt;height:3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" filled="f" stroked="f">
                <v:textbox>
                  <w:txbxContent>
                    <w:p w14:paraId="7FE8D24F" w14:textId="2DB46BED" w:rsidR="00D32E94" w:rsidRPr="00D32E94" w:rsidRDefault="00D32E94" w:rsidP="00D32E94">
                      <w:pPr>
                        <w:jc w:val="center"/>
                        <w:rPr>
                          <w:color w:val="000000" w:themeColor="text1"/>
                          <w:sz w:val="52"/>
                          <w:szCs w:val="5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32E94">
                        <w:rPr>
                          <w:color w:val="000000" w:themeColor="text1"/>
                          <w:sz w:val="52"/>
                          <w:szCs w:val="5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20</w:t>
                      </w:r>
                      <w:r>
                        <w:rPr>
                          <w:color w:val="000000" w:themeColor="text1"/>
                          <w:sz w:val="52"/>
                          <w:szCs w:val="5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22</w:t>
                      </w:r>
                    </w:p>
                  </w:txbxContent>
                </v:textbox>
              </v:shape>
            </w:pict>
          </mc:Fallback>
        </mc:AlternateContent>
      </w:r>
      <w:r>
        <w:rPr>
          <w:noProof/>
        </w:rPr>
        <mc:AlternateContent>
          <mc:Choice Requires="wps">
            <w:drawing>
              <wp:anchor distT="0" distB="0" distL="114300" distR="114300" simplePos="0" relativeHeight="251659264" behindDoc="0" locked="0" layoutInCell="1" allowOverlap="1" wp14:anchorId="6C2CDACF" wp14:editId="752D223E">
                <wp:simplePos x="0" y="0"/>
                <wp:positionH relativeFrom="column">
                  <wp:posOffset>4810125</wp:posOffset>
                </wp:positionH>
                <wp:positionV relativeFrom="paragraph">
                  <wp:posOffset>55880</wp:posOffset>
                </wp:positionV>
                <wp:extent cx="969645" cy="476250"/>
                <wp:effectExtent l="0" t="0" r="0" b="0"/>
                <wp:wrapNone/>
                <wp:docPr id="399848135" name="Text Box 1"/>
                <wp:cNvGraphicFramePr/>
                <a:graphic xmlns:a="http://schemas.openxmlformats.org/drawingml/2006/main">
                  <a:graphicData uri="http://schemas.microsoft.com/office/word/2010/wordprocessingShape">
                    <wps:wsp>
                      <wps:cNvSpPr txBox="1"/>
                      <wps:spPr>
                        <a:xfrm>
                          <a:off x="0" y="0"/>
                          <a:ext cx="969645" cy="476250"/>
                        </a:xfrm>
                        <a:prstGeom prst="rect">
                          <a:avLst/>
                        </a:prstGeom>
                        <a:noFill/>
                        <a:ln>
                          <a:noFill/>
                        </a:ln>
                      </wps:spPr>
                      <wps:txbx>
                        <w:txbxContent>
                          <w:p w14:paraId="4E5140C3" w14:textId="00000E78" w:rsidR="00D32E94" w:rsidRPr="00D32E94" w:rsidRDefault="00D32E94" w:rsidP="00D32E94">
                            <w:pPr>
                              <w:jc w:val="center"/>
                              <w:rPr>
                                <w:color w:val="000000" w:themeColor="text1"/>
                                <w:sz w:val="52"/>
                                <w:szCs w:val="5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32E94">
                              <w:rPr>
                                <w:color w:val="000000" w:themeColor="text1"/>
                                <w:sz w:val="52"/>
                                <w:szCs w:val="5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2016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2CDACF" id="_x0000_s1027" type="#_x0000_t202" style="position:absolute;margin-left:378.75pt;margin-top:4.4pt;width:76.35pt;height:3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" filled="f" stroked="f">
                <v:textbox>
                  <w:txbxContent>
                    <w:p w14:paraId="4E5140C3" w14:textId="00000E78" w:rsidR="00D32E94" w:rsidRPr="00D32E94" w:rsidRDefault="00D32E94" w:rsidP="00D32E94">
                      <w:pPr>
                        <w:jc w:val="center"/>
                        <w:rPr>
                          <w:color w:val="000000" w:themeColor="text1"/>
                          <w:sz w:val="52"/>
                          <w:szCs w:val="5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32E94">
                        <w:rPr>
                          <w:color w:val="000000" w:themeColor="text1"/>
                          <w:sz w:val="52"/>
                          <w:szCs w:val="5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2016</w:t>
                      </w:r>
                    </w:p>
                  </w:txbxContent>
                </v:textbox>
              </v:shape>
            </w:pict>
          </mc:Fallback>
        </mc:AlternateContent>
      </w:r>
      <w:r w:rsidR="00F4003D" w:rsidRPr="00697B9B">
        <w:rPr>
          <w:b/>
          <w:noProof/>
          <w:sz w:val="24"/>
          <w:szCs w:val="24"/>
        </w:rPr>
        <w:drawing>
          <wp:inline distT="0" distB="0" distL="0" distR="0" wp14:anchorId="5D932ED0" wp14:editId="580D2868">
            <wp:extent cx="5791200" cy="3747247"/>
            <wp:effectExtent l="0" t="0" r="0" b="5715"/>
            <wp:docPr id="10160268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026808" name="Picture 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97860" cy="3751556"/>
                    </a:xfrm>
                    <a:prstGeom prst="rect">
                      <a:avLst/>
                    </a:prstGeom>
                  </pic:spPr>
                </pic:pic>
              </a:graphicData>
            </a:graphic>
          </wp:inline>
        </w:drawing>
      </w:r>
    </w:p>
    <w:p w14:paraId="4CF9D7DD" w14:textId="2C309FF2" w:rsidR="0099458C" w:rsidRDefault="00F4003D" w:rsidP="0099458C">
      <w:pPr>
        <w:rPr>
          <w:b/>
          <w:sz w:val="24"/>
          <w:szCs w:val="24"/>
        </w:rPr>
      </w:pPr>
      <w:r>
        <w:rPr>
          <w:b/>
          <w:sz w:val="24"/>
          <w:szCs w:val="24"/>
        </w:rPr>
        <w:t xml:space="preserve">Figure </w:t>
      </w:r>
      <w:r w:rsidR="00395B05">
        <w:rPr>
          <w:b/>
          <w:sz w:val="24"/>
          <w:szCs w:val="24"/>
        </w:rPr>
        <w:t>6</w:t>
      </w:r>
      <w:r>
        <w:rPr>
          <w:b/>
          <w:sz w:val="24"/>
          <w:szCs w:val="24"/>
        </w:rPr>
        <w:t xml:space="preserve">. </w:t>
      </w:r>
      <w:r w:rsidR="0099458C">
        <w:rPr>
          <w:b/>
          <w:sz w:val="24"/>
          <w:szCs w:val="24"/>
        </w:rPr>
        <w:t>Comparison of 2016 and 2022 areas with DBG</w:t>
      </w:r>
      <w:r w:rsidR="0099458C">
        <w:t>≥</w:t>
      </w:r>
      <w:r w:rsidR="0099458C">
        <w:rPr>
          <w:b/>
          <w:sz w:val="24"/>
          <w:szCs w:val="24"/>
        </w:rPr>
        <w:t xml:space="preserve"> </w:t>
      </w:r>
      <w:r w:rsidR="0099458C">
        <w:rPr>
          <w:b/>
          <w:sz w:val="24"/>
          <w:szCs w:val="24"/>
        </w:rPr>
        <w:t>9</w:t>
      </w:r>
      <w:r w:rsidR="0099458C">
        <w:rPr>
          <w:b/>
          <w:sz w:val="24"/>
          <w:szCs w:val="24"/>
        </w:rPr>
        <w:t>ft within AOI-</w:t>
      </w:r>
      <w:r w:rsidR="0099458C">
        <w:rPr>
          <w:b/>
          <w:sz w:val="24"/>
          <w:szCs w:val="24"/>
        </w:rPr>
        <w:t>1</w:t>
      </w:r>
    </w:p>
    <w:p w14:paraId="20387C27" w14:textId="27DB22C9" w:rsidR="00F4003D" w:rsidRDefault="00F4003D" w:rsidP="00906C38">
      <w:pPr>
        <w:rPr>
          <w:b/>
          <w:sz w:val="24"/>
          <w:szCs w:val="24"/>
        </w:rPr>
      </w:pPr>
    </w:p>
    <w:p w14:paraId="3B80859D" w14:textId="00F53207" w:rsidR="00442123" w:rsidRDefault="00442123" w:rsidP="00442123">
      <w:pPr>
        <w:rPr>
          <w:b/>
          <w:sz w:val="24"/>
          <w:szCs w:val="24"/>
        </w:rPr>
      </w:pPr>
      <w:r w:rsidRPr="00697B9B">
        <w:rPr>
          <w:b/>
          <w:noProof/>
          <w:sz w:val="24"/>
          <w:szCs w:val="24"/>
        </w:rPr>
        <w:drawing>
          <wp:inline distT="0" distB="0" distL="0" distR="0" wp14:anchorId="2F0A1ABA" wp14:editId="0FD7BE06">
            <wp:extent cx="4692184" cy="2314575"/>
            <wp:effectExtent l="0" t="0" r="0" b="0"/>
            <wp:docPr id="322324192" name="Picture 1" descr="A map of overton bridge to cottonwoo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324192" name="Picture 1" descr="A map of overton bridge to cottonwood&#10;&#10;Description automatically generated"/>
                    <pic:cNvPicPr/>
                  </pic:nvPicPr>
                  <pic:blipFill rotWithShape="1">
                    <a:blip r:embed="rId22">
                      <a:extLst>
                        <a:ext uri="{28A0092B-C50C-407E-A947-70E740481C1C}">
                          <a14:useLocalDpi xmlns:a14="http://schemas.microsoft.com/office/drawing/2010/main" val="0"/>
                        </a:ext>
                      </a:extLst>
                    </a:blip>
                    <a:srcRect l="27982" t="20250" r="-166" b="15909"/>
                    <a:stretch/>
                  </pic:blipFill>
                  <pic:spPr bwMode="auto">
                    <a:xfrm>
                      <a:off x="0" y="0"/>
                      <a:ext cx="4701345" cy="2319094"/>
                    </a:xfrm>
                    <a:prstGeom prst="rect">
                      <a:avLst/>
                    </a:prstGeom>
                    <a:ln>
                      <a:noFill/>
                    </a:ln>
                    <a:extLst>
                      <a:ext uri="{53640926-AAD7-44D8-BBD7-CCE9431645EC}">
                        <a14:shadowObscured xmlns:a14="http://schemas.microsoft.com/office/drawing/2010/main"/>
                      </a:ext>
                    </a:extLst>
                  </pic:spPr>
                </pic:pic>
              </a:graphicData>
            </a:graphic>
          </wp:inline>
        </w:drawing>
      </w:r>
    </w:p>
    <w:p w14:paraId="4C929926" w14:textId="591996E2" w:rsidR="00442123" w:rsidRDefault="00442123" w:rsidP="00442123">
      <w:pPr>
        <w:rPr>
          <w:b/>
          <w:sz w:val="24"/>
          <w:szCs w:val="24"/>
        </w:rPr>
      </w:pPr>
      <w:r>
        <w:rPr>
          <w:b/>
          <w:sz w:val="24"/>
          <w:szCs w:val="24"/>
        </w:rPr>
        <w:t xml:space="preserve">Figure </w:t>
      </w:r>
      <w:r w:rsidR="00395B05">
        <w:rPr>
          <w:b/>
          <w:sz w:val="24"/>
          <w:szCs w:val="24"/>
        </w:rPr>
        <w:t>7</w:t>
      </w:r>
      <w:r>
        <w:rPr>
          <w:b/>
          <w:sz w:val="24"/>
          <w:szCs w:val="24"/>
        </w:rPr>
        <w:t>. REM Analysis Area of Interest 2 (AOI-2)</w:t>
      </w:r>
    </w:p>
    <w:p w14:paraId="0385FD6B" w14:textId="273AD1FB" w:rsidR="00442123" w:rsidRDefault="00442123" w:rsidP="00906C38">
      <w:pPr>
        <w:rPr>
          <w:b/>
          <w:sz w:val="24"/>
          <w:szCs w:val="24"/>
        </w:rPr>
      </w:pPr>
    </w:p>
    <w:p w14:paraId="471D1E38" w14:textId="71970375" w:rsidR="006129AA" w:rsidRDefault="008D78FC" w:rsidP="00906C38">
      <w:pPr>
        <w:rPr>
          <w:b/>
          <w:sz w:val="24"/>
          <w:szCs w:val="24"/>
        </w:rPr>
      </w:pPr>
      <w:r>
        <w:rPr>
          <w:noProof/>
        </w:rPr>
        <w:drawing>
          <wp:inline distT="0" distB="0" distL="0" distR="0" wp14:anchorId="3E3D1729" wp14:editId="3586A08A">
            <wp:extent cx="5534025" cy="3228975"/>
            <wp:effectExtent l="0" t="0" r="0" b="0"/>
            <wp:docPr id="671343640" name="Chart 1">
              <a:extLst xmlns:a="http://schemas.openxmlformats.org/drawingml/2006/main">
                <a:ext uri="{FF2B5EF4-FFF2-40B4-BE49-F238E27FC236}">
                  <a16:creationId xmlns:a16="http://schemas.microsoft.com/office/drawing/2014/main" id="{BCF89306-CA32-F67C-DC4F-B576E80C351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5CFD82C0" w14:textId="302A8D91" w:rsidR="008D78FC" w:rsidRDefault="008D78FC" w:rsidP="00906C38">
      <w:pPr>
        <w:rPr>
          <w:b/>
          <w:sz w:val="24"/>
          <w:szCs w:val="24"/>
        </w:rPr>
      </w:pPr>
      <w:r>
        <w:rPr>
          <w:b/>
          <w:sz w:val="24"/>
          <w:szCs w:val="24"/>
        </w:rPr>
        <w:t xml:space="preserve">Figure </w:t>
      </w:r>
      <w:r w:rsidR="00395B05">
        <w:rPr>
          <w:b/>
          <w:sz w:val="24"/>
          <w:szCs w:val="24"/>
        </w:rPr>
        <w:t>8</w:t>
      </w:r>
      <w:r>
        <w:rPr>
          <w:b/>
          <w:sz w:val="24"/>
          <w:szCs w:val="24"/>
        </w:rPr>
        <w:t xml:space="preserve">. Incision </w:t>
      </w:r>
      <w:r w:rsidR="004123C1">
        <w:rPr>
          <w:b/>
          <w:sz w:val="24"/>
          <w:szCs w:val="24"/>
        </w:rPr>
        <w:t xml:space="preserve">progression </w:t>
      </w:r>
      <w:r>
        <w:rPr>
          <w:b/>
          <w:sz w:val="24"/>
          <w:szCs w:val="24"/>
        </w:rPr>
        <w:t xml:space="preserve">rate for DBG class </w:t>
      </w:r>
      <w:r w:rsidR="0015369A">
        <w:rPr>
          <w:b/>
          <w:sz w:val="24"/>
          <w:szCs w:val="24"/>
        </w:rPr>
        <w:t>≥</w:t>
      </w:r>
      <w:r>
        <w:rPr>
          <w:b/>
          <w:sz w:val="24"/>
          <w:szCs w:val="24"/>
        </w:rPr>
        <w:t>5ft within AOI-2</w:t>
      </w:r>
    </w:p>
    <w:p w14:paraId="23D9BA63" w14:textId="2F8C6498" w:rsidR="008313C3" w:rsidRDefault="008313C3" w:rsidP="008313C3">
      <w:pPr>
        <w:rPr>
          <w:b/>
          <w:sz w:val="24"/>
          <w:szCs w:val="24"/>
        </w:rPr>
      </w:pPr>
      <w:r>
        <w:rPr>
          <w:noProof/>
        </w:rPr>
        <w:lastRenderedPageBreak/>
        <mc:AlternateContent>
          <mc:Choice Requires="wps">
            <w:drawing>
              <wp:anchor distT="0" distB="0" distL="114300" distR="114300" simplePos="0" relativeHeight="251665408" behindDoc="0" locked="0" layoutInCell="1" allowOverlap="1" wp14:anchorId="37FBEA0B" wp14:editId="6B1A7545">
                <wp:simplePos x="0" y="0"/>
                <wp:positionH relativeFrom="margin">
                  <wp:align>right</wp:align>
                </wp:positionH>
                <wp:positionV relativeFrom="paragraph">
                  <wp:posOffset>1989455</wp:posOffset>
                </wp:positionV>
                <wp:extent cx="969645" cy="476250"/>
                <wp:effectExtent l="0" t="0" r="1905" b="0"/>
                <wp:wrapNone/>
                <wp:docPr id="996449452" name="Text Box 1"/>
                <wp:cNvGraphicFramePr/>
                <a:graphic xmlns:a="http://schemas.openxmlformats.org/drawingml/2006/main">
                  <a:graphicData uri="http://schemas.microsoft.com/office/word/2010/wordprocessingShape">
                    <wps:wsp>
                      <wps:cNvSpPr txBox="1"/>
                      <wps:spPr>
                        <a:xfrm>
                          <a:off x="0" y="0"/>
                          <a:ext cx="969645" cy="476250"/>
                        </a:xfrm>
                        <a:prstGeom prst="rect">
                          <a:avLst/>
                        </a:prstGeom>
                        <a:solidFill>
                          <a:schemeClr val="bg1"/>
                        </a:solidFill>
                        <a:ln>
                          <a:noFill/>
                        </a:ln>
                      </wps:spPr>
                      <wps:txbx>
                        <w:txbxContent>
                          <w:p w14:paraId="168F01AA" w14:textId="1D3A5903" w:rsidR="008313C3" w:rsidRPr="00D32E94" w:rsidRDefault="008313C3" w:rsidP="008313C3">
                            <w:pPr>
                              <w:jc w:val="center"/>
                              <w:rPr>
                                <w:color w:val="000000" w:themeColor="text1"/>
                                <w:sz w:val="52"/>
                                <w:szCs w:val="5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52"/>
                                <w:szCs w:val="5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2022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7FBEA0B" id="_x0000_t202" coordsize="21600,21600" o:spt="202" path="m,l,21600r21600,l21600,xe">
                <v:stroke joinstyle="miter"/>
                <v:path gradientshapeok="t" o:connecttype="rect"/>
              </v:shapetype>
              <v:shape id="_x0000_s1028" type="#_x0000_t202" style="position:absolute;margin-left:25.15pt;margin-top:156.65pt;width:76.35pt;height:37.5pt;z-index:25166540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" fillcolor="white [3212]" stroked="f">
                <v:textbox>
                  <w:txbxContent>
                    <w:p w14:paraId="168F01AA" w14:textId="1D3A5903" w:rsidR="008313C3" w:rsidRPr="00D32E94" w:rsidRDefault="008313C3" w:rsidP="008313C3">
                      <w:pPr>
                        <w:jc w:val="center"/>
                        <w:rPr>
                          <w:color w:val="000000" w:themeColor="text1"/>
                          <w:sz w:val="52"/>
                          <w:szCs w:val="5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52"/>
                          <w:szCs w:val="5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2022</w:t>
                      </w:r>
                    </w:p>
                  </w:txbxContent>
                </v:textbox>
                <w10:wrap anchorx="margin"/>
              </v:shape>
            </w:pict>
          </mc:Fallback>
        </mc:AlternateContent>
      </w:r>
      <w:r>
        <w:rPr>
          <w:noProof/>
        </w:rPr>
        <mc:AlternateContent>
          <mc:Choice Requires="wps">
            <w:drawing>
              <wp:anchor distT="0" distB="0" distL="114300" distR="114300" simplePos="0" relativeHeight="251663360" behindDoc="0" locked="0" layoutInCell="1" allowOverlap="1" wp14:anchorId="15C931CE" wp14:editId="04ABEF20">
                <wp:simplePos x="0" y="0"/>
                <wp:positionH relativeFrom="margin">
                  <wp:align>right</wp:align>
                </wp:positionH>
                <wp:positionV relativeFrom="paragraph">
                  <wp:posOffset>8255</wp:posOffset>
                </wp:positionV>
                <wp:extent cx="969645" cy="476250"/>
                <wp:effectExtent l="0" t="0" r="1905" b="0"/>
                <wp:wrapNone/>
                <wp:docPr id="1277671751" name="Text Box 1"/>
                <wp:cNvGraphicFramePr/>
                <a:graphic xmlns:a="http://schemas.openxmlformats.org/drawingml/2006/main">
                  <a:graphicData uri="http://schemas.microsoft.com/office/word/2010/wordprocessingShape">
                    <wps:wsp>
                      <wps:cNvSpPr txBox="1"/>
                      <wps:spPr>
                        <a:xfrm>
                          <a:off x="0" y="0"/>
                          <a:ext cx="969645" cy="476250"/>
                        </a:xfrm>
                        <a:prstGeom prst="rect">
                          <a:avLst/>
                        </a:prstGeom>
                        <a:solidFill>
                          <a:schemeClr val="bg1"/>
                        </a:solidFill>
                        <a:ln>
                          <a:noFill/>
                        </a:ln>
                      </wps:spPr>
                      <wps:txbx>
                        <w:txbxContent>
                          <w:p w14:paraId="0DFDDFED" w14:textId="77777777" w:rsidR="008313C3" w:rsidRPr="00D32E94" w:rsidRDefault="008313C3" w:rsidP="008313C3">
                            <w:pPr>
                              <w:jc w:val="center"/>
                              <w:rPr>
                                <w:color w:val="000000" w:themeColor="text1"/>
                                <w:sz w:val="52"/>
                                <w:szCs w:val="5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32E94">
                              <w:rPr>
                                <w:color w:val="000000" w:themeColor="text1"/>
                                <w:sz w:val="52"/>
                                <w:szCs w:val="5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2016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C931CE" id="_x0000_s1029" type="#_x0000_t202" style="position:absolute;margin-left:25.15pt;margin-top:.65pt;width:76.35pt;height:37.5pt;z-index:25166336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" fillcolor="white [3212]" stroked="f">
                <v:textbox>
                  <w:txbxContent>
                    <w:p w14:paraId="0DFDDFED" w14:textId="77777777" w:rsidR="008313C3" w:rsidRPr="00D32E94" w:rsidRDefault="008313C3" w:rsidP="008313C3">
                      <w:pPr>
                        <w:jc w:val="center"/>
                        <w:rPr>
                          <w:color w:val="000000" w:themeColor="text1"/>
                          <w:sz w:val="52"/>
                          <w:szCs w:val="5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32E94">
                        <w:rPr>
                          <w:color w:val="000000" w:themeColor="text1"/>
                          <w:sz w:val="52"/>
                          <w:szCs w:val="5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2016</w:t>
                      </w:r>
                    </w:p>
                  </w:txbxContent>
                </v:textbox>
                <w10:wrap anchorx="margin"/>
              </v:shape>
            </w:pict>
          </mc:Fallback>
        </mc:AlternateContent>
      </w:r>
      <w:r w:rsidRPr="00697B9B">
        <w:rPr>
          <w:b/>
          <w:noProof/>
          <w:sz w:val="24"/>
          <w:szCs w:val="24"/>
        </w:rPr>
        <w:drawing>
          <wp:inline distT="0" distB="0" distL="0" distR="0" wp14:anchorId="39EC73D8" wp14:editId="0A7B3783">
            <wp:extent cx="6117026" cy="3962250"/>
            <wp:effectExtent l="0" t="0" r="0" b="635"/>
            <wp:docPr id="14895948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594894" name="Picture 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117026" cy="3962250"/>
                    </a:xfrm>
                    <a:prstGeom prst="rect">
                      <a:avLst/>
                    </a:prstGeom>
                  </pic:spPr>
                </pic:pic>
              </a:graphicData>
            </a:graphic>
          </wp:inline>
        </w:drawing>
      </w:r>
    </w:p>
    <w:p w14:paraId="72D03E21" w14:textId="2F5B1885" w:rsidR="008313C3" w:rsidRDefault="008313C3" w:rsidP="008313C3">
      <w:pPr>
        <w:rPr>
          <w:b/>
          <w:sz w:val="24"/>
          <w:szCs w:val="24"/>
        </w:rPr>
      </w:pPr>
      <w:r>
        <w:rPr>
          <w:b/>
          <w:sz w:val="24"/>
          <w:szCs w:val="24"/>
        </w:rPr>
        <w:t xml:space="preserve">Figure </w:t>
      </w:r>
      <w:r w:rsidR="00395B05">
        <w:rPr>
          <w:b/>
          <w:sz w:val="24"/>
          <w:szCs w:val="24"/>
        </w:rPr>
        <w:t>9</w:t>
      </w:r>
      <w:r>
        <w:rPr>
          <w:b/>
          <w:sz w:val="24"/>
          <w:szCs w:val="24"/>
        </w:rPr>
        <w:t>. Comparison of 2016</w:t>
      </w:r>
      <w:r w:rsidR="0099458C">
        <w:rPr>
          <w:b/>
          <w:sz w:val="24"/>
          <w:szCs w:val="24"/>
        </w:rPr>
        <w:t xml:space="preserve"> and 2022</w:t>
      </w:r>
      <w:r>
        <w:rPr>
          <w:b/>
          <w:sz w:val="24"/>
          <w:szCs w:val="24"/>
        </w:rPr>
        <w:t xml:space="preserve"> area</w:t>
      </w:r>
      <w:r w:rsidR="0099458C">
        <w:rPr>
          <w:b/>
          <w:sz w:val="24"/>
          <w:szCs w:val="24"/>
        </w:rPr>
        <w:t>s</w:t>
      </w:r>
      <w:r>
        <w:rPr>
          <w:b/>
          <w:sz w:val="24"/>
          <w:szCs w:val="24"/>
        </w:rPr>
        <w:t xml:space="preserve"> with DBG</w:t>
      </w:r>
      <w:r w:rsidR="0099458C">
        <w:t>≥</w:t>
      </w:r>
      <w:r>
        <w:rPr>
          <w:b/>
          <w:sz w:val="24"/>
          <w:szCs w:val="24"/>
        </w:rPr>
        <w:t xml:space="preserve"> 5ft within AOI-2</w:t>
      </w:r>
    </w:p>
    <w:p w14:paraId="4CAA0177" w14:textId="77777777" w:rsidR="00442123" w:rsidRPr="00F4003D" w:rsidRDefault="00442123" w:rsidP="00906C38">
      <w:pPr>
        <w:rPr>
          <w:b/>
          <w:sz w:val="24"/>
          <w:szCs w:val="24"/>
        </w:rPr>
      </w:pPr>
    </w:p>
    <w:sectPr w:rsidR="00442123" w:rsidRPr="00F4003D" w:rsidSect="00313AD4">
      <w:headerReference w:type="default" r:id="rId25"/>
      <w:footerReference w:type="default" r:id="rId2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09D986C" w14:textId="77777777" w:rsidR="00313AD4" w:rsidRDefault="00313AD4" w:rsidP="00906C38">
      <w:pPr>
        <w:spacing w:after="0" w:line="240" w:lineRule="auto"/>
      </w:pPr>
      <w:r>
        <w:separator/>
      </w:r>
    </w:p>
  </w:endnote>
  <w:endnote w:type="continuationSeparator" w:id="0">
    <w:p w14:paraId="76A045B1" w14:textId="77777777" w:rsidR="00313AD4" w:rsidRDefault="00313AD4" w:rsidP="00906C3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Fonts w:ascii="Times New Roman" w:eastAsia="Times New Roman" w:hAnsi="Times New Roman" w:cs="Times New Roman"/>
        <w:kern w:val="0"/>
        <w:sz w:val="20"/>
        <w:szCs w:val="20"/>
        <w14:ligatures w14:val="none"/>
      </w:rPr>
      <w:id w:val="9493176"/>
      <w:docPartObj>
        <w:docPartGallery w:val="Page Numbers (Bottom of Page)"/>
        <w:docPartUnique/>
      </w:docPartObj>
    </w:sdtPr>
    <w:sdtEndPr/>
    <w:sdtContent>
      <w:sdt>
        <w:sdtPr>
          <w:rPr>
            <w:rFonts w:ascii="Times New Roman" w:eastAsia="Times New Roman" w:hAnsi="Times New Roman" w:cs="Times New Roman"/>
            <w:kern w:val="0"/>
            <w:sz w:val="20"/>
            <w:szCs w:val="20"/>
            <w14:ligatures w14:val="none"/>
          </w:rPr>
          <w:id w:val="565050523"/>
          <w:docPartObj>
            <w:docPartGallery w:val="Page Numbers (Top of Page)"/>
            <w:docPartUnique/>
          </w:docPartObj>
        </w:sdtPr>
        <w:sdtEndPr/>
        <w:sdtContent>
          <w:p w14:paraId="312EB7C2" w14:textId="77777777" w:rsidR="00906C38" w:rsidRPr="00906C38" w:rsidRDefault="00906C38" w:rsidP="00906C38">
            <w:pPr>
              <w:widowControl w:val="0"/>
              <w:tabs>
                <w:tab w:val="center" w:pos="4320"/>
                <w:tab w:val="right" w:pos="8640"/>
              </w:tabs>
              <w:autoSpaceDE w:val="0"/>
              <w:autoSpaceDN w:val="0"/>
              <w:spacing w:before="120" w:after="120" w:line="240" w:lineRule="auto"/>
              <w:ind w:left="720" w:hanging="720"/>
              <w:jc w:val="right"/>
              <w:rPr>
                <w:rFonts w:ascii="Times New Roman" w:eastAsia="Times New Roman" w:hAnsi="Times New Roman" w:cs="Times New Roman"/>
                <w:kern w:val="0"/>
                <w:sz w:val="20"/>
                <w:szCs w:val="20"/>
                <w14:ligatures w14:val="none"/>
              </w:rPr>
            </w:pPr>
            <w:r w:rsidRPr="00906C38">
              <w:rPr>
                <w:rFonts w:ascii="Times New Roman" w:eastAsia="Times New Roman" w:hAnsi="Times New Roman" w:cs="Times New Roman"/>
                <w:kern w:val="0"/>
                <w:sz w:val="18"/>
                <w:szCs w:val="18"/>
                <w14:ligatures w14:val="none"/>
              </w:rPr>
              <w:t xml:space="preserve">Page </w:t>
            </w:r>
            <w:r w:rsidRPr="00906C38">
              <w:rPr>
                <w:rFonts w:ascii="Times New Roman" w:eastAsia="Times New Roman" w:hAnsi="Times New Roman" w:cs="Times New Roman"/>
                <w:kern w:val="0"/>
                <w:sz w:val="18"/>
                <w:szCs w:val="18"/>
                <w14:ligatures w14:val="none"/>
              </w:rPr>
              <w:fldChar w:fldCharType="begin"/>
            </w:r>
            <w:r w:rsidRPr="00906C38">
              <w:rPr>
                <w:rFonts w:ascii="Times New Roman" w:eastAsia="Times New Roman" w:hAnsi="Times New Roman" w:cs="Times New Roman"/>
                <w:kern w:val="0"/>
                <w:sz w:val="18"/>
                <w:szCs w:val="18"/>
                <w14:ligatures w14:val="none"/>
              </w:rPr>
              <w:instrText xml:space="preserve"> PAGE </w:instrText>
            </w:r>
            <w:r w:rsidRPr="00906C38">
              <w:rPr>
                <w:rFonts w:ascii="Times New Roman" w:eastAsia="Times New Roman" w:hAnsi="Times New Roman" w:cs="Times New Roman"/>
                <w:kern w:val="0"/>
                <w:sz w:val="18"/>
                <w:szCs w:val="18"/>
                <w14:ligatures w14:val="none"/>
              </w:rPr>
              <w:fldChar w:fldCharType="separate"/>
            </w:r>
            <w:r w:rsidRPr="00906C38">
              <w:rPr>
                <w:rFonts w:ascii="Times New Roman" w:eastAsia="Times New Roman" w:hAnsi="Times New Roman" w:cs="Times New Roman"/>
                <w:kern w:val="0"/>
                <w:sz w:val="18"/>
                <w:szCs w:val="18"/>
                <w14:ligatures w14:val="none"/>
              </w:rPr>
              <w:t>1</w:t>
            </w:r>
            <w:r w:rsidRPr="00906C38">
              <w:rPr>
                <w:rFonts w:ascii="Times New Roman" w:eastAsia="Times New Roman" w:hAnsi="Times New Roman" w:cs="Times New Roman"/>
                <w:kern w:val="0"/>
                <w:sz w:val="18"/>
                <w:szCs w:val="18"/>
                <w14:ligatures w14:val="none"/>
              </w:rPr>
              <w:fldChar w:fldCharType="end"/>
            </w:r>
            <w:r w:rsidRPr="00906C38">
              <w:rPr>
                <w:rFonts w:ascii="Times New Roman" w:eastAsia="Times New Roman" w:hAnsi="Times New Roman" w:cs="Times New Roman"/>
                <w:kern w:val="0"/>
                <w:sz w:val="18"/>
                <w:szCs w:val="18"/>
                <w14:ligatures w14:val="none"/>
              </w:rPr>
              <w:t xml:space="preserve"> of </w:t>
            </w:r>
            <w:r w:rsidRPr="00906C38">
              <w:rPr>
                <w:rFonts w:ascii="Times New Roman" w:eastAsia="Times New Roman" w:hAnsi="Times New Roman" w:cs="Times New Roman"/>
                <w:kern w:val="0"/>
                <w:sz w:val="18"/>
                <w:szCs w:val="18"/>
                <w14:ligatures w14:val="none"/>
              </w:rPr>
              <w:fldChar w:fldCharType="begin"/>
            </w:r>
            <w:r w:rsidRPr="00906C38">
              <w:rPr>
                <w:rFonts w:ascii="Times New Roman" w:eastAsia="Times New Roman" w:hAnsi="Times New Roman" w:cs="Times New Roman"/>
                <w:kern w:val="0"/>
                <w:sz w:val="18"/>
                <w:szCs w:val="18"/>
                <w14:ligatures w14:val="none"/>
              </w:rPr>
              <w:instrText xml:space="preserve"> NUMPAGES  </w:instrText>
            </w:r>
            <w:r w:rsidRPr="00906C38">
              <w:rPr>
                <w:rFonts w:ascii="Times New Roman" w:eastAsia="Times New Roman" w:hAnsi="Times New Roman" w:cs="Times New Roman"/>
                <w:kern w:val="0"/>
                <w:sz w:val="18"/>
                <w:szCs w:val="18"/>
                <w14:ligatures w14:val="none"/>
              </w:rPr>
              <w:fldChar w:fldCharType="separate"/>
            </w:r>
            <w:r w:rsidRPr="00906C38">
              <w:rPr>
                <w:rFonts w:ascii="Times New Roman" w:eastAsia="Times New Roman" w:hAnsi="Times New Roman" w:cs="Times New Roman"/>
                <w:kern w:val="0"/>
                <w:sz w:val="18"/>
                <w:szCs w:val="18"/>
                <w14:ligatures w14:val="none"/>
              </w:rPr>
              <w:t>5</w:t>
            </w:r>
            <w:r w:rsidRPr="00906C38">
              <w:rPr>
                <w:rFonts w:ascii="Times New Roman" w:eastAsia="Times New Roman" w:hAnsi="Times New Roman" w:cs="Times New Roman"/>
                <w:kern w:val="0"/>
                <w:sz w:val="18"/>
                <w:szCs w:val="18"/>
                <w14:ligatures w14:val="none"/>
              </w:rPr>
              <w:fldChar w:fldCharType="end"/>
            </w:r>
          </w:p>
        </w:sdtContent>
      </w:sdt>
    </w:sdtContent>
  </w:sdt>
  <w:p w14:paraId="684C59C0" w14:textId="77777777" w:rsidR="00906C38" w:rsidRPr="00906C38" w:rsidRDefault="00906C38" w:rsidP="00906C38">
    <w:pPr>
      <w:widowControl w:val="0"/>
      <w:tabs>
        <w:tab w:val="center" w:pos="4320"/>
        <w:tab w:val="right" w:pos="8640"/>
      </w:tabs>
      <w:autoSpaceDE w:val="0"/>
      <w:autoSpaceDN w:val="0"/>
      <w:spacing w:before="120" w:after="120" w:line="240" w:lineRule="auto"/>
      <w:ind w:left="720" w:hanging="720"/>
      <w:rPr>
        <w:rFonts w:ascii="Times New Roman" w:eastAsia="Times New Roman" w:hAnsi="Times New Roman" w:cs="Times New Roman"/>
        <w:kern w:val="0"/>
        <w:sz w:val="20"/>
        <w:szCs w:val="20"/>
        <w14:ligatures w14:val="none"/>
      </w:rPr>
    </w:pPr>
  </w:p>
  <w:p w14:paraId="2A5F0E7B" w14:textId="43BC7DB1" w:rsidR="00906C38" w:rsidRDefault="00906C3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D0218A9" w14:textId="77777777" w:rsidR="00313AD4" w:rsidRDefault="00313AD4" w:rsidP="00906C38">
      <w:pPr>
        <w:spacing w:after="0" w:line="240" w:lineRule="auto"/>
      </w:pPr>
      <w:r>
        <w:separator/>
      </w:r>
    </w:p>
  </w:footnote>
  <w:footnote w:type="continuationSeparator" w:id="0">
    <w:p w14:paraId="5A7DFD4F" w14:textId="77777777" w:rsidR="00313AD4" w:rsidRDefault="00313AD4" w:rsidP="00906C3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9BC066E" w14:textId="0096EDFA" w:rsidR="00906C38" w:rsidRPr="00906C38" w:rsidRDefault="00906C38" w:rsidP="00906C38">
    <w:pPr>
      <w:widowControl w:val="0"/>
      <w:tabs>
        <w:tab w:val="center" w:pos="4680"/>
      </w:tabs>
      <w:autoSpaceDE w:val="0"/>
      <w:autoSpaceDN w:val="0"/>
      <w:spacing w:before="120" w:after="120" w:line="240" w:lineRule="auto"/>
      <w:ind w:left="720" w:hanging="720"/>
      <w:rPr>
        <w:rFonts w:ascii="Times New Roman" w:eastAsia="Times New Roman" w:hAnsi="Times New Roman" w:cs="Times New Roman"/>
        <w:b/>
        <w:kern w:val="0"/>
        <w:sz w:val="20"/>
        <w:szCs w:val="20"/>
        <w14:ligatures w14:val="none"/>
      </w:rPr>
    </w:pPr>
    <w:r w:rsidRPr="00906C38">
      <w:rPr>
        <w:rFonts w:ascii="Times New Roman" w:eastAsia="Times New Roman" w:hAnsi="Times New Roman" w:cs="Times New Roman"/>
        <w:b/>
        <w:noProof/>
        <w:kern w:val="0"/>
        <w:sz w:val="20"/>
        <w:szCs w:val="20"/>
        <w14:ligatures w14:val="none"/>
      </w:rPr>
      <mc:AlternateContent>
        <mc:Choice Requires="wps">
          <w:drawing>
            <wp:anchor distT="0" distB="0" distL="114300" distR="114300" simplePos="0" relativeHeight="251660288" behindDoc="0" locked="0" layoutInCell="1" allowOverlap="1" wp14:anchorId="6E69222D" wp14:editId="525112DB">
              <wp:simplePos x="0" y="0"/>
              <wp:positionH relativeFrom="column">
                <wp:posOffset>3261360</wp:posOffset>
              </wp:positionH>
              <wp:positionV relativeFrom="paragraph">
                <wp:posOffset>440690</wp:posOffset>
              </wp:positionV>
              <wp:extent cx="2644140" cy="0"/>
              <wp:effectExtent l="13335" t="12065" r="9525" b="6985"/>
              <wp:wrapNone/>
              <wp:docPr id="1130377434"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64414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A63F008" id="_x0000_t32" coordsize="21600,21600" o:spt="32" o:oned="t" path="m,l21600,21600e" filled="f">
              <v:path arrowok="t" fillok="f" o:connecttype="none"/>
              <o:lock v:ext="edit" shapetype="t"/>
            </v:shapetype>
            <v:shape id="AutoShape 5" o:spid="_x0000_s1026" type="#_x0000_t32" style="position:absolute;margin-left:256.8pt;margin-top:34.7pt;width:208.2pt;height:0;flip:x;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"/>
          </w:pict>
        </mc:Fallback>
      </mc:AlternateContent>
    </w:r>
    <w:r w:rsidRPr="00906C38">
      <w:rPr>
        <w:rFonts w:ascii="Times New Roman" w:eastAsia="Times New Roman" w:hAnsi="Times New Roman" w:cs="Times New Roman"/>
        <w:b/>
        <w:noProof/>
        <w:kern w:val="0"/>
        <w:sz w:val="20"/>
        <w:szCs w:val="20"/>
        <w14:ligatures w14:val="none"/>
      </w:rPr>
      <mc:AlternateContent>
        <mc:Choice Requires="wps">
          <w:drawing>
            <wp:anchor distT="0" distB="0" distL="114300" distR="114300" simplePos="0" relativeHeight="251659264" behindDoc="0" locked="0" layoutInCell="1" allowOverlap="1" wp14:anchorId="0B4D34CD" wp14:editId="2BEF5CC3">
              <wp:simplePos x="0" y="0"/>
              <wp:positionH relativeFrom="column">
                <wp:posOffset>0</wp:posOffset>
              </wp:positionH>
              <wp:positionV relativeFrom="paragraph">
                <wp:posOffset>440690</wp:posOffset>
              </wp:positionV>
              <wp:extent cx="2644140" cy="0"/>
              <wp:effectExtent l="9525" t="12065" r="13335" b="6985"/>
              <wp:wrapNone/>
              <wp:docPr id="679390851"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64414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0C17F17" id="AutoShape 3" o:spid="_x0000_s1026" type="#_x0000_t32" style="position:absolute;margin-left:0;margin-top:34.7pt;width:208.2pt;height:0;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"/>
          </w:pict>
        </mc:Fallback>
      </mc:AlternateContent>
    </w:r>
    <w:r w:rsidRPr="00906C38">
      <w:rPr>
        <w:rFonts w:ascii="Times New Roman" w:eastAsia="Times New Roman" w:hAnsi="Times New Roman" w:cs="Times New Roman"/>
        <w:b/>
        <w:kern w:val="0"/>
        <w:sz w:val="20"/>
        <w:szCs w:val="20"/>
        <w14:ligatures w14:val="none"/>
      </w:rPr>
      <w:t>PRRIP – ED OFFICE DRAFT</w:t>
    </w:r>
    <w:r w:rsidRPr="00906C38">
      <w:rPr>
        <w:rFonts w:ascii="Times New Roman" w:eastAsia="Times New Roman" w:hAnsi="Times New Roman" w:cs="Times New Roman"/>
        <w:kern w:val="0"/>
        <w:sz w:val="20"/>
        <w:szCs w:val="20"/>
        <w14:ligatures w14:val="none"/>
      </w:rPr>
      <w:tab/>
    </w:r>
    <w:r w:rsidRPr="00906C38">
      <w:rPr>
        <w:rFonts w:ascii="Times New Roman" w:eastAsia="Times New Roman" w:hAnsi="Times New Roman" w:cs="Times New Roman"/>
        <w:noProof/>
        <w:kern w:val="0"/>
        <w:sz w:val="20"/>
        <w:szCs w:val="20"/>
        <w14:ligatures w14:val="none"/>
      </w:rPr>
      <w:drawing>
        <wp:inline distT="0" distB="0" distL="0" distR="0" wp14:anchorId="18C678D6" wp14:editId="111674F9">
          <wp:extent cx="476250" cy="647700"/>
          <wp:effectExtent l="0" t="0" r="0" b="0"/>
          <wp:docPr id="1" name="Picture 1" descr="Final_Black_Platte_Logo_Powerpoi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nal_Black_Platte_Logo_Powerpoint.png"/>
                  <pic:cNvPicPr>
                    <a:picLocks noChangeAspect="1" noChangeArrowheads="1"/>
                  </pic:cNvPicPr>
                </pic:nvPicPr>
                <pic:blipFill>
                  <a:blip r:embed="rId1"/>
                  <a:srcRect/>
                  <a:stretch>
                    <a:fillRect/>
                  </a:stretch>
                </pic:blipFill>
                <pic:spPr bwMode="auto">
                  <a:xfrm>
                    <a:off x="0" y="0"/>
                    <a:ext cx="476250" cy="647700"/>
                  </a:xfrm>
                  <a:prstGeom prst="rect">
                    <a:avLst/>
                  </a:prstGeom>
                  <a:noFill/>
                  <a:ln w="9525">
                    <a:noFill/>
                    <a:miter lim="800000"/>
                    <a:headEnd/>
                    <a:tailEnd/>
                  </a:ln>
                </pic:spPr>
              </pic:pic>
            </a:graphicData>
          </a:graphic>
        </wp:inline>
      </w:drawing>
    </w:r>
    <w:r w:rsidRPr="00906C38">
      <w:rPr>
        <w:rFonts w:ascii="Times New Roman" w:eastAsia="Times New Roman" w:hAnsi="Times New Roman" w:cs="Times New Roman"/>
        <w:kern w:val="0"/>
        <w:sz w:val="20"/>
        <w:szCs w:val="20"/>
        <w14:ligatures w14:val="none"/>
      </w:rPr>
      <w:tab/>
    </w:r>
    <w:r w:rsidRPr="00906C38">
      <w:rPr>
        <w:rFonts w:ascii="Times New Roman" w:eastAsia="Times New Roman" w:hAnsi="Times New Roman" w:cs="Times New Roman"/>
        <w:kern w:val="0"/>
        <w:sz w:val="20"/>
        <w:szCs w:val="20"/>
        <w14:ligatures w14:val="none"/>
      </w:rPr>
      <w:tab/>
    </w:r>
    <w:r w:rsidRPr="00906C38">
      <w:rPr>
        <w:rFonts w:ascii="Times New Roman" w:eastAsia="Times New Roman" w:hAnsi="Times New Roman" w:cs="Times New Roman"/>
        <w:kern w:val="0"/>
        <w:sz w:val="20"/>
        <w:szCs w:val="20"/>
        <w14:ligatures w14:val="none"/>
      </w:rPr>
      <w:tab/>
    </w:r>
    <w:r w:rsidRPr="00906C38">
      <w:rPr>
        <w:rFonts w:ascii="Times New Roman" w:eastAsia="Times New Roman" w:hAnsi="Times New Roman" w:cs="Times New Roman"/>
        <w:b/>
        <w:kern w:val="0"/>
        <w:sz w:val="20"/>
        <w:szCs w:val="20"/>
        <w14:ligatures w14:val="none"/>
      </w:rPr>
      <w:tab/>
      <w:t xml:space="preserve">         04/</w:t>
    </w:r>
    <w:r w:rsidR="002B7226">
      <w:rPr>
        <w:rFonts w:ascii="Times New Roman" w:eastAsia="Times New Roman" w:hAnsi="Times New Roman" w:cs="Times New Roman"/>
        <w:b/>
        <w:kern w:val="0"/>
        <w:sz w:val="20"/>
        <w:szCs w:val="20"/>
        <w14:ligatures w14:val="none"/>
      </w:rPr>
      <w:t>25</w:t>
    </w:r>
    <w:r w:rsidRPr="00906C38">
      <w:rPr>
        <w:rFonts w:ascii="Times New Roman" w:eastAsia="Times New Roman" w:hAnsi="Times New Roman" w:cs="Times New Roman"/>
        <w:b/>
        <w:kern w:val="0"/>
        <w:sz w:val="20"/>
        <w:szCs w:val="20"/>
        <w14:ligatures w14:val="none"/>
      </w:rPr>
      <w:t>/2024</w:t>
    </w:r>
  </w:p>
  <w:p w14:paraId="7D4F8332" w14:textId="77777777" w:rsidR="00906C38" w:rsidRPr="00906C38" w:rsidRDefault="00906C38" w:rsidP="00906C38">
    <w:pPr>
      <w:widowControl w:val="0"/>
      <w:tabs>
        <w:tab w:val="center" w:pos="4680"/>
        <w:tab w:val="right" w:pos="9360"/>
      </w:tabs>
      <w:autoSpaceDE w:val="0"/>
      <w:autoSpaceDN w:val="0"/>
      <w:spacing w:before="120" w:after="120" w:line="240" w:lineRule="auto"/>
      <w:ind w:left="720" w:hanging="720"/>
      <w:rPr>
        <w:rFonts w:ascii="Times New Roman" w:eastAsia="Times New Roman" w:hAnsi="Times New Roman" w:cs="Times New Roman"/>
        <w:kern w:val="0"/>
        <w:sz w:val="20"/>
        <w:szCs w:val="20"/>
        <w14:ligatures w14:val="none"/>
      </w:rPr>
    </w:pPr>
  </w:p>
  <w:p w14:paraId="507C4FA1" w14:textId="793D24DC" w:rsidR="00906C38" w:rsidRDefault="00906C3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8C94015"/>
    <w:multiLevelType w:val="hybridMultilevel"/>
    <w:tmpl w:val="556A3510"/>
    <w:lvl w:ilvl="0" w:tplc="F34A2684">
      <w:start w:val="1"/>
      <w:numFmt w:val="decimal"/>
      <w:lvlText w:val="%1."/>
      <w:lvlJc w:val="left"/>
      <w:pPr>
        <w:ind w:left="1020" w:hanging="360"/>
      </w:pPr>
    </w:lvl>
    <w:lvl w:ilvl="1" w:tplc="0AA6F6AA">
      <w:start w:val="1"/>
      <w:numFmt w:val="decimal"/>
      <w:lvlText w:val="%2."/>
      <w:lvlJc w:val="left"/>
      <w:pPr>
        <w:ind w:left="1020" w:hanging="360"/>
      </w:pPr>
    </w:lvl>
    <w:lvl w:ilvl="2" w:tplc="5D7A6D04">
      <w:start w:val="1"/>
      <w:numFmt w:val="decimal"/>
      <w:lvlText w:val="%3."/>
      <w:lvlJc w:val="left"/>
      <w:pPr>
        <w:ind w:left="1020" w:hanging="360"/>
      </w:pPr>
    </w:lvl>
    <w:lvl w:ilvl="3" w:tplc="D3E22B20">
      <w:start w:val="1"/>
      <w:numFmt w:val="decimal"/>
      <w:lvlText w:val="%4."/>
      <w:lvlJc w:val="left"/>
      <w:pPr>
        <w:ind w:left="1020" w:hanging="360"/>
      </w:pPr>
    </w:lvl>
    <w:lvl w:ilvl="4" w:tplc="D9FC2BEC">
      <w:start w:val="1"/>
      <w:numFmt w:val="decimal"/>
      <w:lvlText w:val="%5."/>
      <w:lvlJc w:val="left"/>
      <w:pPr>
        <w:ind w:left="1020" w:hanging="360"/>
      </w:pPr>
    </w:lvl>
    <w:lvl w:ilvl="5" w:tplc="71BCAC02">
      <w:start w:val="1"/>
      <w:numFmt w:val="decimal"/>
      <w:lvlText w:val="%6."/>
      <w:lvlJc w:val="left"/>
      <w:pPr>
        <w:ind w:left="1020" w:hanging="360"/>
      </w:pPr>
    </w:lvl>
    <w:lvl w:ilvl="6" w:tplc="4C6418F2">
      <w:start w:val="1"/>
      <w:numFmt w:val="decimal"/>
      <w:lvlText w:val="%7."/>
      <w:lvlJc w:val="left"/>
      <w:pPr>
        <w:ind w:left="1020" w:hanging="360"/>
      </w:pPr>
    </w:lvl>
    <w:lvl w:ilvl="7" w:tplc="6BF050AE">
      <w:start w:val="1"/>
      <w:numFmt w:val="decimal"/>
      <w:lvlText w:val="%8."/>
      <w:lvlJc w:val="left"/>
      <w:pPr>
        <w:ind w:left="1020" w:hanging="360"/>
      </w:pPr>
    </w:lvl>
    <w:lvl w:ilvl="8" w:tplc="964E9E2E">
      <w:start w:val="1"/>
      <w:numFmt w:val="decimal"/>
      <w:lvlText w:val="%9."/>
      <w:lvlJc w:val="left"/>
      <w:pPr>
        <w:ind w:left="1020" w:hanging="360"/>
      </w:pPr>
    </w:lvl>
  </w:abstractNum>
  <w:abstractNum w:abstractNumId="1" w15:restartNumberingAfterBreak="0">
    <w:nsid w:val="1C3D0EAF"/>
    <w:multiLevelType w:val="hybridMultilevel"/>
    <w:tmpl w:val="214E146A"/>
    <w:lvl w:ilvl="0" w:tplc="AED21DD6">
      <w:start w:val="1"/>
      <w:numFmt w:val="decimal"/>
      <w:lvlText w:val="%1."/>
      <w:lvlJc w:val="left"/>
      <w:pPr>
        <w:ind w:left="1020" w:hanging="360"/>
      </w:pPr>
    </w:lvl>
    <w:lvl w:ilvl="1" w:tplc="FACABADA">
      <w:start w:val="1"/>
      <w:numFmt w:val="decimal"/>
      <w:lvlText w:val="%2."/>
      <w:lvlJc w:val="left"/>
      <w:pPr>
        <w:ind w:left="1020" w:hanging="360"/>
      </w:pPr>
    </w:lvl>
    <w:lvl w:ilvl="2" w:tplc="B900E4D0">
      <w:start w:val="1"/>
      <w:numFmt w:val="decimal"/>
      <w:lvlText w:val="%3."/>
      <w:lvlJc w:val="left"/>
      <w:pPr>
        <w:ind w:left="1020" w:hanging="360"/>
      </w:pPr>
    </w:lvl>
    <w:lvl w:ilvl="3" w:tplc="BF56D17A">
      <w:start w:val="1"/>
      <w:numFmt w:val="decimal"/>
      <w:lvlText w:val="%4."/>
      <w:lvlJc w:val="left"/>
      <w:pPr>
        <w:ind w:left="1020" w:hanging="360"/>
      </w:pPr>
    </w:lvl>
    <w:lvl w:ilvl="4" w:tplc="C8223824">
      <w:start w:val="1"/>
      <w:numFmt w:val="decimal"/>
      <w:lvlText w:val="%5."/>
      <w:lvlJc w:val="left"/>
      <w:pPr>
        <w:ind w:left="1020" w:hanging="360"/>
      </w:pPr>
    </w:lvl>
    <w:lvl w:ilvl="5" w:tplc="3634FA02">
      <w:start w:val="1"/>
      <w:numFmt w:val="decimal"/>
      <w:lvlText w:val="%6."/>
      <w:lvlJc w:val="left"/>
      <w:pPr>
        <w:ind w:left="1020" w:hanging="360"/>
      </w:pPr>
    </w:lvl>
    <w:lvl w:ilvl="6" w:tplc="AB402B82">
      <w:start w:val="1"/>
      <w:numFmt w:val="decimal"/>
      <w:lvlText w:val="%7."/>
      <w:lvlJc w:val="left"/>
      <w:pPr>
        <w:ind w:left="1020" w:hanging="360"/>
      </w:pPr>
    </w:lvl>
    <w:lvl w:ilvl="7" w:tplc="921CA6F8">
      <w:start w:val="1"/>
      <w:numFmt w:val="decimal"/>
      <w:lvlText w:val="%8."/>
      <w:lvlJc w:val="left"/>
      <w:pPr>
        <w:ind w:left="1020" w:hanging="360"/>
      </w:pPr>
    </w:lvl>
    <w:lvl w:ilvl="8" w:tplc="E1BA61C2">
      <w:start w:val="1"/>
      <w:numFmt w:val="decimal"/>
      <w:lvlText w:val="%9."/>
      <w:lvlJc w:val="left"/>
      <w:pPr>
        <w:ind w:left="1020" w:hanging="360"/>
      </w:pPr>
    </w:lvl>
  </w:abstractNum>
  <w:abstractNum w:abstractNumId="2" w15:restartNumberingAfterBreak="0">
    <w:nsid w:val="34167D87"/>
    <w:multiLevelType w:val="hybridMultilevel"/>
    <w:tmpl w:val="E78A40B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406414734">
    <w:abstractNumId w:val="2"/>
  </w:num>
  <w:num w:numId="2" w16cid:durableId="2025478770">
    <w:abstractNumId w:val="0"/>
  </w:num>
  <w:num w:numId="3" w16cid:durableId="150917267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1718"/>
    <w:rsid w:val="00000AA7"/>
    <w:rsid w:val="000016F4"/>
    <w:rsid w:val="00004DFE"/>
    <w:rsid w:val="00005E35"/>
    <w:rsid w:val="000138BB"/>
    <w:rsid w:val="000158CB"/>
    <w:rsid w:val="00046242"/>
    <w:rsid w:val="000632EF"/>
    <w:rsid w:val="0007158F"/>
    <w:rsid w:val="00085983"/>
    <w:rsid w:val="000A3ACB"/>
    <w:rsid w:val="000D1BE0"/>
    <w:rsid w:val="000E1356"/>
    <w:rsid w:val="000E4846"/>
    <w:rsid w:val="000E58EC"/>
    <w:rsid w:val="000F2975"/>
    <w:rsid w:val="00125FF2"/>
    <w:rsid w:val="0013573A"/>
    <w:rsid w:val="00147CC1"/>
    <w:rsid w:val="0015369A"/>
    <w:rsid w:val="00157FC9"/>
    <w:rsid w:val="0018270F"/>
    <w:rsid w:val="00183A1D"/>
    <w:rsid w:val="001A0D1B"/>
    <w:rsid w:val="001A6926"/>
    <w:rsid w:val="001D0867"/>
    <w:rsid w:val="001E590D"/>
    <w:rsid w:val="00207371"/>
    <w:rsid w:val="00240D4B"/>
    <w:rsid w:val="00251FEC"/>
    <w:rsid w:val="00255424"/>
    <w:rsid w:val="0026226D"/>
    <w:rsid w:val="00270781"/>
    <w:rsid w:val="002B7226"/>
    <w:rsid w:val="002C56F7"/>
    <w:rsid w:val="002E0C32"/>
    <w:rsid w:val="002F1AFF"/>
    <w:rsid w:val="002F5A8D"/>
    <w:rsid w:val="002F79EA"/>
    <w:rsid w:val="0030403C"/>
    <w:rsid w:val="00313873"/>
    <w:rsid w:val="00313AD4"/>
    <w:rsid w:val="0031516D"/>
    <w:rsid w:val="003304C1"/>
    <w:rsid w:val="00337EFC"/>
    <w:rsid w:val="00350896"/>
    <w:rsid w:val="003509DC"/>
    <w:rsid w:val="003514F1"/>
    <w:rsid w:val="00360585"/>
    <w:rsid w:val="003927F5"/>
    <w:rsid w:val="00395B05"/>
    <w:rsid w:val="003A494D"/>
    <w:rsid w:val="003C7A1D"/>
    <w:rsid w:val="003E6CC9"/>
    <w:rsid w:val="003F11F2"/>
    <w:rsid w:val="004031C2"/>
    <w:rsid w:val="004123C1"/>
    <w:rsid w:val="0043597B"/>
    <w:rsid w:val="00442123"/>
    <w:rsid w:val="00444549"/>
    <w:rsid w:val="00455FBD"/>
    <w:rsid w:val="004806D1"/>
    <w:rsid w:val="004924D2"/>
    <w:rsid w:val="004946A1"/>
    <w:rsid w:val="00494C97"/>
    <w:rsid w:val="004A63BD"/>
    <w:rsid w:val="004B1718"/>
    <w:rsid w:val="004C30C8"/>
    <w:rsid w:val="004D3ECE"/>
    <w:rsid w:val="005054E0"/>
    <w:rsid w:val="005055C1"/>
    <w:rsid w:val="00510B38"/>
    <w:rsid w:val="005172BA"/>
    <w:rsid w:val="005178FE"/>
    <w:rsid w:val="005370BD"/>
    <w:rsid w:val="00552CE8"/>
    <w:rsid w:val="005746C8"/>
    <w:rsid w:val="005B4E93"/>
    <w:rsid w:val="005C14B1"/>
    <w:rsid w:val="005C213A"/>
    <w:rsid w:val="005D2842"/>
    <w:rsid w:val="005D4C0F"/>
    <w:rsid w:val="00601FD5"/>
    <w:rsid w:val="00610B79"/>
    <w:rsid w:val="006129AA"/>
    <w:rsid w:val="0062307F"/>
    <w:rsid w:val="00624BCE"/>
    <w:rsid w:val="00684913"/>
    <w:rsid w:val="006A7371"/>
    <w:rsid w:val="006A77B9"/>
    <w:rsid w:val="006E0904"/>
    <w:rsid w:val="00706182"/>
    <w:rsid w:val="007573F2"/>
    <w:rsid w:val="00761409"/>
    <w:rsid w:val="007642AB"/>
    <w:rsid w:val="00767592"/>
    <w:rsid w:val="0078273E"/>
    <w:rsid w:val="007856C6"/>
    <w:rsid w:val="007E1BC4"/>
    <w:rsid w:val="00803BA6"/>
    <w:rsid w:val="0082022C"/>
    <w:rsid w:val="0082509C"/>
    <w:rsid w:val="008313C3"/>
    <w:rsid w:val="00831DA1"/>
    <w:rsid w:val="00846E4D"/>
    <w:rsid w:val="00874732"/>
    <w:rsid w:val="00881F0C"/>
    <w:rsid w:val="00887FA0"/>
    <w:rsid w:val="008A1157"/>
    <w:rsid w:val="008A6D45"/>
    <w:rsid w:val="008B1A48"/>
    <w:rsid w:val="008C1F3B"/>
    <w:rsid w:val="008D78FC"/>
    <w:rsid w:val="008E0B52"/>
    <w:rsid w:val="008F12FC"/>
    <w:rsid w:val="008F1312"/>
    <w:rsid w:val="00906C38"/>
    <w:rsid w:val="00922258"/>
    <w:rsid w:val="00937766"/>
    <w:rsid w:val="00942DBC"/>
    <w:rsid w:val="00950112"/>
    <w:rsid w:val="0099458C"/>
    <w:rsid w:val="009B323F"/>
    <w:rsid w:val="009C5209"/>
    <w:rsid w:val="009E0394"/>
    <w:rsid w:val="009E15C2"/>
    <w:rsid w:val="009E1F63"/>
    <w:rsid w:val="009E64CB"/>
    <w:rsid w:val="009F4E7F"/>
    <w:rsid w:val="00A1004A"/>
    <w:rsid w:val="00A127A4"/>
    <w:rsid w:val="00A12BF9"/>
    <w:rsid w:val="00A25F3C"/>
    <w:rsid w:val="00A47014"/>
    <w:rsid w:val="00A64BD3"/>
    <w:rsid w:val="00A74CCF"/>
    <w:rsid w:val="00A842E8"/>
    <w:rsid w:val="00A907B9"/>
    <w:rsid w:val="00A90DDF"/>
    <w:rsid w:val="00A90EFA"/>
    <w:rsid w:val="00AB2FFA"/>
    <w:rsid w:val="00AE058C"/>
    <w:rsid w:val="00B2238B"/>
    <w:rsid w:val="00B669B3"/>
    <w:rsid w:val="00B71D78"/>
    <w:rsid w:val="00B741E9"/>
    <w:rsid w:val="00B76268"/>
    <w:rsid w:val="00B813E4"/>
    <w:rsid w:val="00B84644"/>
    <w:rsid w:val="00BB42DB"/>
    <w:rsid w:val="00BC0AC5"/>
    <w:rsid w:val="00BD31BD"/>
    <w:rsid w:val="00BE1B6E"/>
    <w:rsid w:val="00BF5C79"/>
    <w:rsid w:val="00C0309A"/>
    <w:rsid w:val="00C07620"/>
    <w:rsid w:val="00C63F73"/>
    <w:rsid w:val="00C67421"/>
    <w:rsid w:val="00C675E3"/>
    <w:rsid w:val="00C67E6B"/>
    <w:rsid w:val="00C80CEC"/>
    <w:rsid w:val="00C935E3"/>
    <w:rsid w:val="00CA0F4A"/>
    <w:rsid w:val="00CA5C0B"/>
    <w:rsid w:val="00CB4ED1"/>
    <w:rsid w:val="00CB6E2B"/>
    <w:rsid w:val="00CB6EBA"/>
    <w:rsid w:val="00CC0767"/>
    <w:rsid w:val="00CC4AB7"/>
    <w:rsid w:val="00CE4751"/>
    <w:rsid w:val="00CE47F6"/>
    <w:rsid w:val="00D12AAD"/>
    <w:rsid w:val="00D32E94"/>
    <w:rsid w:val="00D77F72"/>
    <w:rsid w:val="00D87227"/>
    <w:rsid w:val="00DA2A60"/>
    <w:rsid w:val="00DC01E2"/>
    <w:rsid w:val="00DC2876"/>
    <w:rsid w:val="00E00D8E"/>
    <w:rsid w:val="00E12929"/>
    <w:rsid w:val="00E3649D"/>
    <w:rsid w:val="00E77004"/>
    <w:rsid w:val="00E87920"/>
    <w:rsid w:val="00E903DD"/>
    <w:rsid w:val="00E93463"/>
    <w:rsid w:val="00EA5583"/>
    <w:rsid w:val="00F4003D"/>
    <w:rsid w:val="00F50304"/>
    <w:rsid w:val="00F6383F"/>
    <w:rsid w:val="00F82597"/>
    <w:rsid w:val="00F84174"/>
    <w:rsid w:val="00FA50B9"/>
    <w:rsid w:val="00FC2467"/>
    <w:rsid w:val="00FD0B17"/>
    <w:rsid w:val="00FD474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CDD3E70"/>
  <w15:chartTrackingRefBased/>
  <w15:docId w15:val="{9B983413-8DD6-4B44-9048-6014029304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313C3"/>
  </w:style>
  <w:style w:type="paragraph" w:styleId="Heading1">
    <w:name w:val="heading 1"/>
    <w:basedOn w:val="Normal"/>
    <w:next w:val="Normal"/>
    <w:link w:val="Heading1Char"/>
    <w:uiPriority w:val="9"/>
    <w:qFormat/>
    <w:rsid w:val="004B171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4B1718"/>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4B1718"/>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4B1718"/>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4B1718"/>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4B171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4B171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4B171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4B171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B1718"/>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4B1718"/>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4B1718"/>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4B1718"/>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4B1718"/>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4B171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4B171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4B171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4B1718"/>
    <w:rPr>
      <w:rFonts w:eastAsiaTheme="majorEastAsia" w:cstheme="majorBidi"/>
      <w:color w:val="272727" w:themeColor="text1" w:themeTint="D8"/>
    </w:rPr>
  </w:style>
  <w:style w:type="paragraph" w:styleId="Title">
    <w:name w:val="Title"/>
    <w:basedOn w:val="Normal"/>
    <w:next w:val="Normal"/>
    <w:link w:val="TitleChar"/>
    <w:uiPriority w:val="10"/>
    <w:qFormat/>
    <w:rsid w:val="004B171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B171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4B171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4B171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4B1718"/>
    <w:pPr>
      <w:spacing w:before="160"/>
      <w:jc w:val="center"/>
    </w:pPr>
    <w:rPr>
      <w:i/>
      <w:iCs/>
      <w:color w:val="404040" w:themeColor="text1" w:themeTint="BF"/>
    </w:rPr>
  </w:style>
  <w:style w:type="character" w:customStyle="1" w:styleId="QuoteChar">
    <w:name w:val="Quote Char"/>
    <w:basedOn w:val="DefaultParagraphFont"/>
    <w:link w:val="Quote"/>
    <w:uiPriority w:val="29"/>
    <w:rsid w:val="004B1718"/>
    <w:rPr>
      <w:i/>
      <w:iCs/>
      <w:color w:val="404040" w:themeColor="text1" w:themeTint="BF"/>
    </w:rPr>
  </w:style>
  <w:style w:type="paragraph" w:styleId="ListParagraph">
    <w:name w:val="List Paragraph"/>
    <w:basedOn w:val="Normal"/>
    <w:uiPriority w:val="34"/>
    <w:qFormat/>
    <w:rsid w:val="004B1718"/>
    <w:pPr>
      <w:ind w:left="720"/>
      <w:contextualSpacing/>
    </w:pPr>
  </w:style>
  <w:style w:type="character" w:styleId="IntenseEmphasis">
    <w:name w:val="Intense Emphasis"/>
    <w:basedOn w:val="DefaultParagraphFont"/>
    <w:uiPriority w:val="21"/>
    <w:qFormat/>
    <w:rsid w:val="004B1718"/>
    <w:rPr>
      <w:i/>
      <w:iCs/>
      <w:color w:val="0F4761" w:themeColor="accent1" w:themeShade="BF"/>
    </w:rPr>
  </w:style>
  <w:style w:type="paragraph" w:styleId="IntenseQuote">
    <w:name w:val="Intense Quote"/>
    <w:basedOn w:val="Normal"/>
    <w:next w:val="Normal"/>
    <w:link w:val="IntenseQuoteChar"/>
    <w:uiPriority w:val="30"/>
    <w:qFormat/>
    <w:rsid w:val="004B171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4B1718"/>
    <w:rPr>
      <w:i/>
      <w:iCs/>
      <w:color w:val="0F4761" w:themeColor="accent1" w:themeShade="BF"/>
    </w:rPr>
  </w:style>
  <w:style w:type="character" w:styleId="IntenseReference">
    <w:name w:val="Intense Reference"/>
    <w:basedOn w:val="DefaultParagraphFont"/>
    <w:uiPriority w:val="32"/>
    <w:qFormat/>
    <w:rsid w:val="004B1718"/>
    <w:rPr>
      <w:b/>
      <w:bCs/>
      <w:smallCaps/>
      <w:color w:val="0F4761" w:themeColor="accent1" w:themeShade="BF"/>
      <w:spacing w:val="5"/>
    </w:rPr>
  </w:style>
  <w:style w:type="character" w:styleId="Hyperlink">
    <w:name w:val="Hyperlink"/>
    <w:basedOn w:val="DefaultParagraphFont"/>
    <w:uiPriority w:val="99"/>
    <w:unhideWhenUsed/>
    <w:rsid w:val="00FA50B9"/>
    <w:rPr>
      <w:color w:val="467886" w:themeColor="hyperlink"/>
      <w:u w:val="single"/>
    </w:rPr>
  </w:style>
  <w:style w:type="character" w:styleId="UnresolvedMention">
    <w:name w:val="Unresolved Mention"/>
    <w:basedOn w:val="DefaultParagraphFont"/>
    <w:uiPriority w:val="99"/>
    <w:semiHidden/>
    <w:unhideWhenUsed/>
    <w:rsid w:val="00FA50B9"/>
    <w:rPr>
      <w:color w:val="605E5C"/>
      <w:shd w:val="clear" w:color="auto" w:fill="E1DFDD"/>
    </w:rPr>
  </w:style>
  <w:style w:type="character" w:styleId="PlaceholderText">
    <w:name w:val="Placeholder Text"/>
    <w:basedOn w:val="DefaultParagraphFont"/>
    <w:uiPriority w:val="99"/>
    <w:semiHidden/>
    <w:rsid w:val="00A74CCF"/>
    <w:rPr>
      <w:color w:val="666666"/>
    </w:rPr>
  </w:style>
  <w:style w:type="paragraph" w:styleId="Header">
    <w:name w:val="header"/>
    <w:basedOn w:val="Normal"/>
    <w:link w:val="HeaderChar"/>
    <w:uiPriority w:val="99"/>
    <w:unhideWhenUsed/>
    <w:rsid w:val="00906C38"/>
    <w:pPr>
      <w:tabs>
        <w:tab w:val="center" w:pos="4680"/>
        <w:tab w:val="right" w:pos="9360"/>
      </w:tabs>
      <w:spacing w:after="0" w:line="240" w:lineRule="auto"/>
    </w:pPr>
  </w:style>
  <w:style w:type="character" w:customStyle="1" w:styleId="HeaderChar">
    <w:name w:val="Header Char"/>
    <w:basedOn w:val="DefaultParagraphFont"/>
    <w:link w:val="Header"/>
    <w:uiPriority w:val="99"/>
    <w:rsid w:val="00906C38"/>
  </w:style>
  <w:style w:type="paragraph" w:styleId="Footer">
    <w:name w:val="footer"/>
    <w:basedOn w:val="Normal"/>
    <w:link w:val="FooterChar"/>
    <w:uiPriority w:val="99"/>
    <w:unhideWhenUsed/>
    <w:rsid w:val="00906C38"/>
    <w:pPr>
      <w:tabs>
        <w:tab w:val="center" w:pos="4680"/>
        <w:tab w:val="right" w:pos="9360"/>
      </w:tabs>
      <w:spacing w:after="0" w:line="240" w:lineRule="auto"/>
    </w:pPr>
  </w:style>
  <w:style w:type="character" w:customStyle="1" w:styleId="FooterChar">
    <w:name w:val="Footer Char"/>
    <w:basedOn w:val="DefaultParagraphFont"/>
    <w:link w:val="Footer"/>
    <w:uiPriority w:val="99"/>
    <w:rsid w:val="00906C38"/>
  </w:style>
  <w:style w:type="paragraph" w:styleId="Revision">
    <w:name w:val="Revision"/>
    <w:hidden/>
    <w:uiPriority w:val="99"/>
    <w:semiHidden/>
    <w:rsid w:val="00A64BD3"/>
    <w:pPr>
      <w:spacing w:after="0" w:line="240" w:lineRule="auto"/>
    </w:pPr>
  </w:style>
  <w:style w:type="character" w:styleId="CommentReference">
    <w:name w:val="annotation reference"/>
    <w:basedOn w:val="DefaultParagraphFont"/>
    <w:uiPriority w:val="99"/>
    <w:semiHidden/>
    <w:unhideWhenUsed/>
    <w:rsid w:val="00350896"/>
    <w:rPr>
      <w:sz w:val="16"/>
      <w:szCs w:val="16"/>
    </w:rPr>
  </w:style>
  <w:style w:type="paragraph" w:styleId="CommentText">
    <w:name w:val="annotation text"/>
    <w:basedOn w:val="Normal"/>
    <w:link w:val="CommentTextChar"/>
    <w:uiPriority w:val="99"/>
    <w:unhideWhenUsed/>
    <w:rsid w:val="00350896"/>
    <w:pPr>
      <w:spacing w:line="240" w:lineRule="auto"/>
    </w:pPr>
    <w:rPr>
      <w:sz w:val="20"/>
      <w:szCs w:val="20"/>
    </w:rPr>
  </w:style>
  <w:style w:type="character" w:customStyle="1" w:styleId="CommentTextChar">
    <w:name w:val="Comment Text Char"/>
    <w:basedOn w:val="DefaultParagraphFont"/>
    <w:link w:val="CommentText"/>
    <w:uiPriority w:val="99"/>
    <w:rsid w:val="00350896"/>
    <w:rPr>
      <w:sz w:val="20"/>
      <w:szCs w:val="20"/>
    </w:rPr>
  </w:style>
  <w:style w:type="paragraph" w:styleId="CommentSubject">
    <w:name w:val="annotation subject"/>
    <w:basedOn w:val="CommentText"/>
    <w:next w:val="CommentText"/>
    <w:link w:val="CommentSubjectChar"/>
    <w:uiPriority w:val="99"/>
    <w:semiHidden/>
    <w:unhideWhenUsed/>
    <w:rsid w:val="00350896"/>
    <w:rPr>
      <w:b/>
      <w:bCs/>
    </w:rPr>
  </w:style>
  <w:style w:type="character" w:customStyle="1" w:styleId="CommentSubjectChar">
    <w:name w:val="Comment Subject Char"/>
    <w:basedOn w:val="CommentTextChar"/>
    <w:link w:val="CommentSubject"/>
    <w:uiPriority w:val="99"/>
    <w:semiHidden/>
    <w:rsid w:val="00350896"/>
    <w:rPr>
      <w:b/>
      <w:bCs/>
      <w:sz w:val="20"/>
      <w:szCs w:val="20"/>
    </w:rPr>
  </w:style>
  <w:style w:type="character" w:customStyle="1" w:styleId="cf01">
    <w:name w:val="cf01"/>
    <w:basedOn w:val="DefaultParagraphFont"/>
    <w:rsid w:val="00A1004A"/>
    <w:rPr>
      <w:rFonts w:ascii="Segoe UI" w:hAnsi="Segoe UI" w:cs="Segoe UI" w:hint="default"/>
      <w:sz w:val="18"/>
      <w:szCs w:val="18"/>
    </w:rPr>
  </w:style>
  <w:style w:type="character" w:styleId="FollowedHyperlink">
    <w:name w:val="FollowedHyperlink"/>
    <w:basedOn w:val="DefaultParagraphFont"/>
    <w:uiPriority w:val="99"/>
    <w:semiHidden/>
    <w:unhideWhenUsed/>
    <w:rsid w:val="0043597B"/>
    <w:rPr>
      <w:color w:val="96607D"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33859411">
      <w:bodyDiv w:val="1"/>
      <w:marLeft w:val="0"/>
      <w:marRight w:val="0"/>
      <w:marTop w:val="0"/>
      <w:marBottom w:val="0"/>
      <w:divBdr>
        <w:top w:val="none" w:sz="0" w:space="0" w:color="auto"/>
        <w:left w:val="none" w:sz="0" w:space="0" w:color="auto"/>
        <w:bottom w:val="none" w:sz="0" w:space="0" w:color="auto"/>
        <w:right w:val="none" w:sz="0" w:space="0" w:color="auto"/>
      </w:divBdr>
    </w:div>
    <w:div w:id="16842383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platteriverprogram.org/internal-document/prrip-sediment-augmentation-data-synthesis-compilation" TargetMode="External"/><Relationship Id="rId13" Type="http://schemas.openxmlformats.org/officeDocument/2006/relationships/image" Target="media/image3.png"/><Relationship Id="rId18" Type="http://schemas.openxmlformats.org/officeDocument/2006/relationships/image" Target="media/image7.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endnotes" Target="endnotes.xml"/><Relationship Id="rId12" Type="http://schemas.openxmlformats.org/officeDocument/2006/relationships/image" Target="media/image2.svg"/><Relationship Id="rId17" Type="http://schemas.openxmlformats.org/officeDocument/2006/relationships/image" Target="media/image6.pn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chart" Target="charts/chart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image" Target="media/image11.png"/><Relationship Id="rId5" Type="http://schemas.openxmlformats.org/officeDocument/2006/relationships/webSettings" Target="webSettings.xml"/><Relationship Id="rId15" Type="http://schemas.openxmlformats.org/officeDocument/2006/relationships/hyperlink" Target="https://platteriverprogram.org/sites/default/files/2024-04/06%20-%20FINAL%20PRRIP%20Sediment%20Augmentation%20PSMA%20Tech%20Memo%20and%20Monitoring%20Plan.pdf" TargetMode="External"/><Relationship Id="rId23" Type="http://schemas.openxmlformats.org/officeDocument/2006/relationships/chart" Target="charts/chart2.xml"/><Relationship Id="rId28" Type="http://schemas.openxmlformats.org/officeDocument/2006/relationships/theme" Target="theme/theme1.xml"/><Relationship Id="rId10" Type="http://schemas.openxmlformats.org/officeDocument/2006/relationships/hyperlink" Target="https://platteriverprogram.org/sites/default/files/PubsAndData/ProgramLibrary/USBR%202004_Platte%20River%20Channel_History%20and%20Restoration.pdf" TargetMode="External"/><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hyperlink" Target="https://platteriverprogram.org/internal-document/04sed-aug-report2022-addendum" TargetMode="External"/><Relationship Id="rId14" Type="http://schemas.openxmlformats.org/officeDocument/2006/relationships/image" Target="media/image4.svg"/><Relationship Id="rId22" Type="http://schemas.openxmlformats.org/officeDocument/2006/relationships/image" Target="media/image10.pn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casavantl\Documents\SedAug\REM%20Incision%20Analysis.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w="25400">
              <a:noFill/>
            </a:ln>
            <a:effectLst/>
          </c:spPr>
          <c:invertIfNegative val="0"/>
          <c:cat>
            <c:numRef>
              <c:f>Sheet1!$A$10:$A$16</c:f>
              <c:numCache>
                <c:formatCode>General</c:formatCode>
                <c:ptCount val="7"/>
                <c:pt idx="0">
                  <c:v>2016</c:v>
                </c:pt>
                <c:pt idx="1">
                  <c:v>2017</c:v>
                </c:pt>
                <c:pt idx="2">
                  <c:v>2018</c:v>
                </c:pt>
                <c:pt idx="3">
                  <c:v>2019</c:v>
                </c:pt>
                <c:pt idx="4">
                  <c:v>2020</c:v>
                </c:pt>
                <c:pt idx="5">
                  <c:v>2021</c:v>
                </c:pt>
                <c:pt idx="6">
                  <c:v>2022</c:v>
                </c:pt>
              </c:numCache>
            </c:numRef>
          </c:cat>
          <c:val>
            <c:numRef>
              <c:f>Sheet1!$C$3:$C$8</c:f>
              <c:numCache>
                <c:formatCode>General</c:formatCode>
                <c:ptCount val="6"/>
                <c:pt idx="0">
                  <c:v>4.3427464210000002</c:v>
                </c:pt>
                <c:pt idx="1">
                  <c:v>1.4204545490000005</c:v>
                </c:pt>
                <c:pt idx="2">
                  <c:v>1.1840909100000001</c:v>
                </c:pt>
                <c:pt idx="3">
                  <c:v>-1.4070248000000003</c:v>
                </c:pt>
                <c:pt idx="4">
                  <c:v>2.6045454600000006</c:v>
                </c:pt>
                <c:pt idx="5">
                  <c:v>3.178191</c:v>
                </c:pt>
              </c:numCache>
            </c:numRef>
          </c:val>
          <c:extLst>
            <c:ext xmlns:c16="http://schemas.microsoft.com/office/drawing/2014/chart" uri="{C3380CC4-5D6E-409C-BE32-E72D297353CC}">
              <c16:uniqueId val="{00000000-4C4E-45E1-BE0B-A312B70DA2DC}"/>
            </c:ext>
          </c:extLst>
        </c:ser>
        <c:dLbls>
          <c:showLegendKey val="0"/>
          <c:showVal val="0"/>
          <c:showCatName val="0"/>
          <c:showSerName val="0"/>
          <c:showPercent val="0"/>
          <c:showBubbleSize val="0"/>
        </c:dLbls>
        <c:gapWidth val="150"/>
        <c:axId val="849666048"/>
        <c:axId val="849661728"/>
      </c:barChart>
      <c:catAx>
        <c:axId val="84966604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low"/>
        <c:spPr>
          <a:solidFill>
            <a:schemeClr val="bg1"/>
          </a:solid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400" b="0" i="0" u="none" strike="noStrike" kern="1200" baseline="0">
                <a:solidFill>
                  <a:schemeClr val="tx1"/>
                </a:solidFill>
                <a:latin typeface="+mn-lt"/>
                <a:ea typeface="+mn-ea"/>
                <a:cs typeface="+mn-cs"/>
              </a:defRPr>
            </a:pPr>
            <a:endParaRPr lang="en-US"/>
          </a:p>
        </c:txPr>
        <c:crossAx val="849661728"/>
        <c:crosses val="autoZero"/>
        <c:auto val="1"/>
        <c:lblAlgn val="ctr"/>
        <c:lblOffset val="100"/>
        <c:tickMarkSkip val="1"/>
        <c:noMultiLvlLbl val="1"/>
      </c:catAx>
      <c:valAx>
        <c:axId val="84966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400" b="0" i="0" u="none" strike="noStrike" kern="1200" baseline="0">
                    <a:solidFill>
                      <a:schemeClr val="tx1"/>
                    </a:solidFill>
                    <a:latin typeface="+mn-lt"/>
                    <a:ea typeface="+mn-ea"/>
                    <a:cs typeface="+mn-cs"/>
                  </a:defRPr>
                </a:pPr>
                <a:r>
                  <a:rPr lang="en-US" dirty="0"/>
                  <a:t>Incision</a:t>
                </a:r>
                <a:r>
                  <a:rPr lang="en-US" baseline="0" dirty="0"/>
                  <a:t> Expansion Rate (ac/</a:t>
                </a:r>
                <a:r>
                  <a:rPr lang="en-US" baseline="0" dirty="0" err="1"/>
                  <a:t>yr</a:t>
                </a:r>
                <a:r>
                  <a:rPr lang="en-US" baseline="0" dirty="0"/>
                  <a:t>)</a:t>
                </a:r>
                <a:endParaRPr lang="en-US" dirty="0"/>
              </a:p>
            </c:rich>
          </c:tx>
          <c:layout>
            <c:manualLayout>
              <c:xMode val="edge"/>
              <c:yMode val="edge"/>
              <c:x val="1.623180522123854E-2"/>
              <c:y val="0.10643193481411839"/>
            </c:manualLayout>
          </c:layout>
          <c:overlay val="0"/>
          <c:spPr>
            <a:noFill/>
            <a:ln>
              <a:noFill/>
            </a:ln>
            <a:effectLst/>
          </c:spPr>
          <c:txPr>
            <a:bodyPr rot="-5400000" spcFirstLastPara="1" vertOverflow="ellipsis" vert="horz" wrap="square" anchor="ctr" anchorCtr="1"/>
            <a:lstStyle/>
            <a:p>
              <a:pPr>
                <a:defRPr sz="1400" b="0" i="0" u="none" strike="noStrike" kern="1200" baseline="0">
                  <a:solidFill>
                    <a:schemeClr val="tx1"/>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400" b="0" i="0" u="none" strike="noStrike" kern="1200" baseline="0">
                <a:solidFill>
                  <a:schemeClr val="tx1"/>
                </a:solidFill>
                <a:latin typeface="+mn-lt"/>
                <a:ea typeface="+mn-ea"/>
                <a:cs typeface="+mn-cs"/>
              </a:defRPr>
            </a:pPr>
            <a:endParaRPr lang="en-US"/>
          </a:p>
        </c:txPr>
        <c:crossAx val="849666048"/>
        <c:crossesAt val="0"/>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400">
          <a:solidFill>
            <a:schemeClr val="tx1"/>
          </a:solidFill>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cat>
            <c:numRef>
              <c:f>'areas only'!$N$5:$N$10</c:f>
              <c:numCache>
                <c:formatCode>General</c:formatCode>
                <c:ptCount val="6"/>
                <c:pt idx="0">
                  <c:v>2016</c:v>
                </c:pt>
                <c:pt idx="1">
                  <c:v>2017</c:v>
                </c:pt>
                <c:pt idx="2">
                  <c:v>2018</c:v>
                </c:pt>
                <c:pt idx="3">
                  <c:v>2019</c:v>
                </c:pt>
                <c:pt idx="4">
                  <c:v>2020</c:v>
                </c:pt>
                <c:pt idx="5">
                  <c:v>2021</c:v>
                </c:pt>
              </c:numCache>
            </c:numRef>
          </c:cat>
          <c:val>
            <c:numRef>
              <c:f>'areas only'!$M$5:$M$10</c:f>
              <c:numCache>
                <c:formatCode>0.00</c:formatCode>
                <c:ptCount val="6"/>
                <c:pt idx="0">
                  <c:v>-3.4919421487603319</c:v>
                </c:pt>
                <c:pt idx="1">
                  <c:v>1.5088842975206624</c:v>
                </c:pt>
                <c:pt idx="2">
                  <c:v>11.963842975206612</c:v>
                </c:pt>
                <c:pt idx="3">
                  <c:v>-11.616735537190085</c:v>
                </c:pt>
                <c:pt idx="4">
                  <c:v>-0.79586776859504127</c:v>
                </c:pt>
                <c:pt idx="5">
                  <c:v>4.0617079889807179</c:v>
                </c:pt>
              </c:numCache>
            </c:numRef>
          </c:val>
          <c:extLst>
            <c:ext xmlns:c16="http://schemas.microsoft.com/office/drawing/2014/chart" uri="{C3380CC4-5D6E-409C-BE32-E72D297353CC}">
              <c16:uniqueId val="{00000000-067A-484A-858F-8DD4D03C0C3B}"/>
            </c:ext>
          </c:extLst>
        </c:ser>
        <c:dLbls>
          <c:showLegendKey val="0"/>
          <c:showVal val="0"/>
          <c:showCatName val="0"/>
          <c:showSerName val="0"/>
          <c:showPercent val="0"/>
          <c:showBubbleSize val="0"/>
        </c:dLbls>
        <c:gapWidth val="219"/>
        <c:overlap val="-27"/>
        <c:axId val="130621983"/>
        <c:axId val="130609503"/>
      </c:barChart>
      <c:catAx>
        <c:axId val="130621983"/>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low"/>
        <c:spPr>
          <a:solidFill>
            <a:schemeClr val="bg1"/>
          </a:solid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400" b="0" i="0" u="none" strike="noStrike" kern="1200" baseline="0">
                <a:solidFill>
                  <a:sysClr val="windowText" lastClr="000000"/>
                </a:solidFill>
                <a:latin typeface="+mn-lt"/>
                <a:ea typeface="+mn-ea"/>
                <a:cs typeface="+mn-cs"/>
              </a:defRPr>
            </a:pPr>
            <a:endParaRPr lang="en-US"/>
          </a:p>
        </c:txPr>
        <c:crossAx val="130609503"/>
        <c:crossesAt val="0"/>
        <c:auto val="1"/>
        <c:lblAlgn val="ctr"/>
        <c:lblOffset val="100"/>
        <c:noMultiLvlLbl val="0"/>
      </c:catAx>
      <c:valAx>
        <c:axId val="130609503"/>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400" b="0" i="0" u="none" strike="noStrike" kern="1200" baseline="0">
                    <a:solidFill>
                      <a:sysClr val="windowText" lastClr="000000"/>
                    </a:solidFill>
                    <a:latin typeface="+mn-lt"/>
                    <a:ea typeface="+mn-ea"/>
                    <a:cs typeface="+mn-cs"/>
                  </a:defRPr>
                </a:pPr>
                <a:r>
                  <a:rPr lang="en-US"/>
                  <a:t>Incision Progression Rate (ac/yr)</a:t>
                </a:r>
              </a:p>
            </c:rich>
          </c:tx>
          <c:overlay val="0"/>
          <c:spPr>
            <a:noFill/>
            <a:ln>
              <a:noFill/>
            </a:ln>
            <a:effectLst/>
          </c:spPr>
          <c:txPr>
            <a:bodyPr rot="-5400000" spcFirstLastPara="1" vertOverflow="ellipsis" vert="horz" wrap="square" anchor="ctr" anchorCtr="1"/>
            <a:lstStyle/>
            <a:p>
              <a:pPr>
                <a:defRPr sz="1400" b="0" i="0" u="none" strike="noStrike" kern="1200" baseline="0">
                  <a:solidFill>
                    <a:sysClr val="windowText" lastClr="000000"/>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400" b="0" i="0" u="none" strike="noStrike" kern="1200" baseline="0">
                <a:solidFill>
                  <a:sysClr val="windowText" lastClr="000000"/>
                </a:solidFill>
                <a:latin typeface="+mn-lt"/>
                <a:ea typeface="+mn-ea"/>
                <a:cs typeface="+mn-cs"/>
              </a:defRPr>
            </a:pPr>
            <a:endParaRPr lang="en-US"/>
          </a:p>
        </c:txPr>
        <c:crossAx val="130621983"/>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400">
          <a:solidFill>
            <a:sysClr val="windowText" lastClr="000000"/>
          </a:solidFill>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70B15A-FD55-4594-8732-766D76FCB6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TotalTime>
  <Pages>12</Pages>
  <Words>1696</Words>
  <Characters>9669</Characters>
  <Application>Microsoft Office Word</Application>
  <DocSecurity>0</DocSecurity>
  <Lines>80</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11343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Justin Brei</dc:creator>
  <cp:keywords/>
  <dc:description/>
  <cp:lastModifiedBy>Libby Casavant</cp:lastModifiedBy>
  <cp:revision>8</cp:revision>
  <dcterms:created xsi:type="dcterms:W3CDTF">2024-04-26T17:21:00Z</dcterms:created>
  <dcterms:modified xsi:type="dcterms:W3CDTF">2024-04-26T17:55:00Z</dcterms:modified>
</cp:coreProperties>
</file>